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6C22" w14:textId="77777777" w:rsidR="00FC540B" w:rsidRDefault="005D11A2" w:rsidP="00FC540B">
      <w:pPr>
        <w:spacing w:after="0" w:line="240" w:lineRule="auto"/>
        <w:rPr>
          <w:rFonts w:ascii="Century Gothic" w:hAnsi="Century Gothic"/>
        </w:rPr>
      </w:pPr>
      <w:r w:rsidRPr="00FC540B">
        <w:rPr>
          <w:rFonts w:ascii="Century Gothic" w:hAnsi="Century Gothic"/>
          <w:noProof/>
          <w:lang w:eastAsia="en-GB"/>
        </w:rPr>
        <w:drawing>
          <wp:anchor distT="0" distB="0" distL="114300" distR="114300" simplePos="0" relativeHeight="251658240" behindDoc="0" locked="0" layoutInCell="1" allowOverlap="1" wp14:anchorId="4575F379" wp14:editId="590A5022">
            <wp:simplePos x="0" y="0"/>
            <wp:positionH relativeFrom="margin">
              <wp:align>center</wp:align>
            </wp:positionH>
            <wp:positionV relativeFrom="paragraph">
              <wp:posOffset>10823</wp:posOffset>
            </wp:positionV>
            <wp:extent cx="1454667" cy="1001864"/>
            <wp:effectExtent l="0" t="0" r="0" b="8255"/>
            <wp:wrapNone/>
            <wp:docPr id="1" name="Picture 1" descr="\\fs2\StaffDesktops\t.bright\Desktop\ECC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StaffDesktops\t.bright\Desktop\ECC logo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4667" cy="1001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41EFC" w14:textId="77777777" w:rsidR="00FC540B" w:rsidRDefault="00FC540B" w:rsidP="00FC540B">
      <w:pPr>
        <w:spacing w:after="0" w:line="240" w:lineRule="auto"/>
        <w:rPr>
          <w:rFonts w:ascii="Century Gothic" w:hAnsi="Century Gothic"/>
        </w:rPr>
      </w:pPr>
    </w:p>
    <w:p w14:paraId="3D0559BA" w14:textId="77777777" w:rsidR="00FC540B" w:rsidRDefault="00FC540B" w:rsidP="00FC540B">
      <w:pPr>
        <w:spacing w:after="0" w:line="240" w:lineRule="auto"/>
        <w:rPr>
          <w:rFonts w:ascii="Century Gothic" w:hAnsi="Century Gothic"/>
        </w:rPr>
      </w:pPr>
    </w:p>
    <w:p w14:paraId="1150068C" w14:textId="77777777" w:rsidR="00FC540B" w:rsidRDefault="00FC540B" w:rsidP="00FC540B">
      <w:pPr>
        <w:spacing w:after="0" w:line="240" w:lineRule="auto"/>
        <w:rPr>
          <w:rFonts w:ascii="Century Gothic" w:hAnsi="Century Gothic"/>
        </w:rPr>
      </w:pPr>
    </w:p>
    <w:p w14:paraId="4617D165" w14:textId="77777777" w:rsidR="00FC540B" w:rsidRDefault="00FC540B" w:rsidP="00FC540B">
      <w:pPr>
        <w:spacing w:after="0" w:line="240" w:lineRule="auto"/>
        <w:rPr>
          <w:rFonts w:ascii="Century Gothic" w:hAnsi="Century Gothic"/>
        </w:rPr>
      </w:pPr>
    </w:p>
    <w:p w14:paraId="1AC8F3CC" w14:textId="77777777" w:rsidR="00FC540B" w:rsidRDefault="00FC540B" w:rsidP="00FC540B">
      <w:pPr>
        <w:spacing w:after="0" w:line="240" w:lineRule="auto"/>
        <w:rPr>
          <w:rFonts w:ascii="Century Gothic" w:hAnsi="Century Gothic"/>
        </w:rPr>
      </w:pPr>
    </w:p>
    <w:p w14:paraId="2A3DA65D" w14:textId="77777777" w:rsidR="00FC540B" w:rsidRDefault="00FC540B" w:rsidP="00FC540B">
      <w:pPr>
        <w:spacing w:after="0" w:line="240" w:lineRule="auto"/>
        <w:rPr>
          <w:rFonts w:ascii="Century Gothic" w:hAnsi="Century Gothic"/>
        </w:rPr>
      </w:pPr>
    </w:p>
    <w:p w14:paraId="1A23FBAE" w14:textId="35D6B06C" w:rsidR="00CD06D2" w:rsidRDefault="00FC540B" w:rsidP="000B6E61">
      <w:pPr>
        <w:spacing w:after="0" w:line="240" w:lineRule="auto"/>
        <w:jc w:val="center"/>
        <w:rPr>
          <w:rFonts w:ascii="Century Gothic" w:hAnsi="Century Gothic"/>
          <w:b/>
          <w:sz w:val="28"/>
        </w:rPr>
      </w:pPr>
      <w:r>
        <w:rPr>
          <w:rFonts w:ascii="Century Gothic" w:hAnsi="Century Gothic"/>
          <w:b/>
          <w:sz w:val="28"/>
        </w:rPr>
        <w:t>Sub-contracting Tendering</w:t>
      </w:r>
      <w:r w:rsidR="000B6E61">
        <w:rPr>
          <w:rFonts w:ascii="Century Gothic" w:hAnsi="Century Gothic"/>
          <w:b/>
          <w:sz w:val="28"/>
        </w:rPr>
        <w:t xml:space="preserve"> </w:t>
      </w:r>
      <w:r w:rsidR="00CD06D2">
        <w:rPr>
          <w:rFonts w:ascii="Century Gothic" w:hAnsi="Century Gothic"/>
          <w:b/>
          <w:sz w:val="28"/>
        </w:rPr>
        <w:t>202</w:t>
      </w:r>
      <w:r w:rsidR="00794E1B">
        <w:rPr>
          <w:rFonts w:ascii="Century Gothic" w:hAnsi="Century Gothic"/>
          <w:b/>
          <w:sz w:val="28"/>
        </w:rPr>
        <w:t>5/2026</w:t>
      </w:r>
    </w:p>
    <w:p w14:paraId="717AF708" w14:textId="77777777" w:rsidR="000B6E61" w:rsidRDefault="000B6E61" w:rsidP="00FC540B">
      <w:pPr>
        <w:spacing w:after="0" w:line="240" w:lineRule="auto"/>
        <w:rPr>
          <w:rFonts w:ascii="Century Gothic" w:hAnsi="Century Gothic"/>
          <w:b/>
          <w:sz w:val="28"/>
        </w:rPr>
      </w:pPr>
    </w:p>
    <w:p w14:paraId="1563F049" w14:textId="77777777" w:rsidR="000B6E61" w:rsidRDefault="000B6E61" w:rsidP="00FC540B">
      <w:pPr>
        <w:spacing w:after="0" w:line="240" w:lineRule="auto"/>
        <w:rPr>
          <w:rFonts w:ascii="Century Gothic" w:hAnsi="Century Gothic"/>
        </w:rPr>
      </w:pPr>
      <w:r w:rsidRPr="000B6E61">
        <w:rPr>
          <w:rFonts w:ascii="Century Gothic" w:hAnsi="Century Gothic"/>
          <w:b/>
        </w:rPr>
        <w:t>Introduction</w:t>
      </w:r>
    </w:p>
    <w:p w14:paraId="3605D618" w14:textId="77777777" w:rsidR="000B6E61" w:rsidRDefault="000B6E61" w:rsidP="00FC540B">
      <w:pPr>
        <w:spacing w:after="0" w:line="240" w:lineRule="auto"/>
        <w:rPr>
          <w:rFonts w:ascii="Century Gothic" w:hAnsi="Century Gothic"/>
        </w:rPr>
      </w:pPr>
    </w:p>
    <w:p w14:paraId="18F32BB1" w14:textId="77777777" w:rsidR="000B6E61" w:rsidRDefault="000B6E61" w:rsidP="00FC540B">
      <w:pPr>
        <w:spacing w:after="0" w:line="240" w:lineRule="auto"/>
        <w:rPr>
          <w:rFonts w:ascii="Century Gothic" w:hAnsi="Century Gothic"/>
          <w:sz w:val="24"/>
          <w:szCs w:val="24"/>
        </w:rPr>
      </w:pPr>
      <w:r>
        <w:rPr>
          <w:rFonts w:ascii="Century Gothic" w:hAnsi="Century Gothic"/>
          <w:sz w:val="24"/>
          <w:szCs w:val="24"/>
        </w:rPr>
        <w:t>E</w:t>
      </w:r>
      <w:r w:rsidRPr="00B84E53">
        <w:rPr>
          <w:rFonts w:ascii="Century Gothic" w:hAnsi="Century Gothic"/>
          <w:sz w:val="24"/>
          <w:szCs w:val="24"/>
        </w:rPr>
        <w:t>ast Coast College has historically agreed sub</w:t>
      </w:r>
      <w:r>
        <w:rPr>
          <w:rFonts w:ascii="Century Gothic" w:hAnsi="Century Gothic"/>
          <w:sz w:val="24"/>
          <w:szCs w:val="24"/>
        </w:rPr>
        <w:t>-</w:t>
      </w:r>
      <w:r w:rsidRPr="00B84E53">
        <w:rPr>
          <w:rFonts w:ascii="Century Gothic" w:hAnsi="Century Gothic"/>
          <w:sz w:val="24"/>
          <w:szCs w:val="24"/>
        </w:rPr>
        <w:t>contracting delivery for niche provision</w:t>
      </w:r>
      <w:r>
        <w:rPr>
          <w:rFonts w:ascii="Century Gothic" w:hAnsi="Century Gothic"/>
          <w:sz w:val="24"/>
          <w:szCs w:val="24"/>
        </w:rPr>
        <w:t xml:space="preserve"> with external providers. This provision has, in accordance with the ESFA guidance,</w:t>
      </w:r>
      <w:r w:rsidRPr="00B84E53">
        <w:rPr>
          <w:rFonts w:ascii="Century Gothic" w:hAnsi="Century Gothic"/>
          <w:sz w:val="24"/>
          <w:szCs w:val="24"/>
        </w:rPr>
        <w:t xml:space="preserve"> been </w:t>
      </w:r>
      <w:r>
        <w:rPr>
          <w:rFonts w:ascii="Century Gothic" w:hAnsi="Century Gothic"/>
          <w:sz w:val="24"/>
          <w:szCs w:val="24"/>
        </w:rPr>
        <w:t>approved by the Corporation of the College.</w:t>
      </w:r>
      <w:r w:rsidRPr="00B84E53">
        <w:rPr>
          <w:rFonts w:ascii="Century Gothic" w:hAnsi="Century Gothic"/>
          <w:sz w:val="24"/>
          <w:szCs w:val="24"/>
        </w:rPr>
        <w:t xml:space="preserve"> </w:t>
      </w:r>
    </w:p>
    <w:p w14:paraId="43DFD807" w14:textId="77777777" w:rsidR="000B6E61" w:rsidRDefault="000B6E61" w:rsidP="00FC540B">
      <w:pPr>
        <w:spacing w:after="0" w:line="240" w:lineRule="auto"/>
        <w:rPr>
          <w:rFonts w:ascii="Century Gothic" w:hAnsi="Century Gothic"/>
          <w:sz w:val="24"/>
          <w:szCs w:val="24"/>
        </w:rPr>
      </w:pPr>
    </w:p>
    <w:p w14:paraId="7D6F5D41" w14:textId="01790678" w:rsidR="000B6E61" w:rsidRDefault="00CD06D2" w:rsidP="00FC540B">
      <w:pPr>
        <w:spacing w:after="0" w:line="240" w:lineRule="auto"/>
        <w:rPr>
          <w:rFonts w:ascii="Century Gothic" w:hAnsi="Century Gothic"/>
          <w:sz w:val="24"/>
          <w:szCs w:val="24"/>
        </w:rPr>
      </w:pPr>
      <w:r>
        <w:rPr>
          <w:rFonts w:ascii="Century Gothic" w:hAnsi="Century Gothic"/>
          <w:sz w:val="24"/>
          <w:szCs w:val="24"/>
        </w:rPr>
        <w:t xml:space="preserve">The ESFA guidance </w:t>
      </w:r>
      <w:r w:rsidR="00FF4E15">
        <w:rPr>
          <w:rFonts w:ascii="Century Gothic" w:hAnsi="Century Gothic"/>
          <w:sz w:val="24"/>
          <w:szCs w:val="24"/>
        </w:rPr>
        <w:t>and the Procurement Act 2023</w:t>
      </w:r>
      <w:r w:rsidR="000B6E61" w:rsidRPr="00B84E53">
        <w:rPr>
          <w:rFonts w:ascii="Century Gothic" w:hAnsi="Century Gothic"/>
          <w:sz w:val="24"/>
          <w:szCs w:val="24"/>
        </w:rPr>
        <w:t xml:space="preserve"> requires </w:t>
      </w:r>
      <w:r w:rsidR="000B6E61">
        <w:rPr>
          <w:rFonts w:ascii="Century Gothic" w:hAnsi="Century Gothic"/>
          <w:sz w:val="24"/>
          <w:szCs w:val="24"/>
        </w:rPr>
        <w:t xml:space="preserve">the College to carry out a </w:t>
      </w:r>
      <w:r w:rsidR="000B6E61" w:rsidRPr="00B84E53">
        <w:rPr>
          <w:rFonts w:ascii="Century Gothic" w:hAnsi="Century Gothic"/>
          <w:sz w:val="24"/>
          <w:szCs w:val="24"/>
        </w:rPr>
        <w:t>tendering process prior to the allocation of sub</w:t>
      </w:r>
      <w:r w:rsidR="000B6E61">
        <w:rPr>
          <w:rFonts w:ascii="Century Gothic" w:hAnsi="Century Gothic"/>
          <w:sz w:val="24"/>
          <w:szCs w:val="24"/>
        </w:rPr>
        <w:t>-</w:t>
      </w:r>
      <w:r w:rsidR="000B6E61" w:rsidRPr="00B84E53">
        <w:rPr>
          <w:rFonts w:ascii="Century Gothic" w:hAnsi="Century Gothic"/>
          <w:sz w:val="24"/>
          <w:szCs w:val="24"/>
        </w:rPr>
        <w:t xml:space="preserve">contracting </w:t>
      </w:r>
      <w:r w:rsidR="000B6E61">
        <w:rPr>
          <w:rFonts w:ascii="Century Gothic" w:hAnsi="Century Gothic"/>
          <w:sz w:val="24"/>
          <w:szCs w:val="24"/>
        </w:rPr>
        <w:t xml:space="preserve">contracts </w:t>
      </w:r>
      <w:r w:rsidR="000B6E61" w:rsidRPr="00B84E53">
        <w:rPr>
          <w:rFonts w:ascii="Century Gothic" w:hAnsi="Century Gothic"/>
          <w:sz w:val="24"/>
          <w:szCs w:val="24"/>
        </w:rPr>
        <w:t>f</w:t>
      </w:r>
      <w:r w:rsidR="000B6E61">
        <w:rPr>
          <w:rFonts w:ascii="Century Gothic" w:hAnsi="Century Gothic"/>
          <w:sz w:val="24"/>
          <w:szCs w:val="24"/>
        </w:rPr>
        <w:t xml:space="preserve">or the </w:t>
      </w:r>
      <w:r>
        <w:rPr>
          <w:rFonts w:ascii="Century Gothic" w:hAnsi="Century Gothic"/>
          <w:sz w:val="24"/>
          <w:szCs w:val="24"/>
        </w:rPr>
        <w:t>202</w:t>
      </w:r>
      <w:r w:rsidR="00794E1B">
        <w:rPr>
          <w:rFonts w:ascii="Century Gothic" w:hAnsi="Century Gothic"/>
          <w:sz w:val="24"/>
          <w:szCs w:val="24"/>
        </w:rPr>
        <w:t>5</w:t>
      </w:r>
      <w:r>
        <w:rPr>
          <w:rFonts w:ascii="Century Gothic" w:hAnsi="Century Gothic"/>
          <w:sz w:val="24"/>
          <w:szCs w:val="24"/>
        </w:rPr>
        <w:t>/2</w:t>
      </w:r>
      <w:r w:rsidR="00794E1B">
        <w:rPr>
          <w:rFonts w:ascii="Century Gothic" w:hAnsi="Century Gothic"/>
          <w:sz w:val="24"/>
          <w:szCs w:val="24"/>
        </w:rPr>
        <w:t>6</w:t>
      </w:r>
      <w:r>
        <w:rPr>
          <w:rFonts w:ascii="Century Gothic" w:hAnsi="Century Gothic"/>
          <w:sz w:val="24"/>
          <w:szCs w:val="24"/>
        </w:rPr>
        <w:t xml:space="preserve"> </w:t>
      </w:r>
      <w:r w:rsidR="000B6E61">
        <w:rPr>
          <w:rFonts w:ascii="Century Gothic" w:hAnsi="Century Gothic"/>
          <w:sz w:val="24"/>
          <w:szCs w:val="24"/>
        </w:rPr>
        <w:t>year.</w:t>
      </w:r>
      <w:r w:rsidR="000B6E61" w:rsidRPr="00B84E53">
        <w:rPr>
          <w:rFonts w:ascii="Century Gothic" w:hAnsi="Century Gothic"/>
          <w:sz w:val="24"/>
          <w:szCs w:val="24"/>
        </w:rPr>
        <w:t xml:space="preserve"> </w:t>
      </w:r>
      <w:r w:rsidR="000B6E61">
        <w:rPr>
          <w:rFonts w:ascii="Century Gothic" w:hAnsi="Century Gothic"/>
          <w:sz w:val="24"/>
          <w:szCs w:val="24"/>
        </w:rPr>
        <w:t>This applies to both the s</w:t>
      </w:r>
      <w:r w:rsidR="000B6E61" w:rsidRPr="00B84E53">
        <w:rPr>
          <w:rFonts w:ascii="Century Gothic" w:hAnsi="Century Gothic"/>
          <w:sz w:val="24"/>
          <w:szCs w:val="24"/>
        </w:rPr>
        <w:t>t</w:t>
      </w:r>
      <w:r w:rsidR="003A429D">
        <w:rPr>
          <w:rFonts w:ascii="Century Gothic" w:hAnsi="Century Gothic"/>
          <w:sz w:val="24"/>
          <w:szCs w:val="24"/>
        </w:rPr>
        <w:t>udy programme and adult</w:t>
      </w:r>
      <w:r w:rsidR="000B6E61">
        <w:rPr>
          <w:rFonts w:ascii="Century Gothic" w:hAnsi="Century Gothic"/>
          <w:sz w:val="24"/>
          <w:szCs w:val="24"/>
        </w:rPr>
        <w:t xml:space="preserve"> provision</w:t>
      </w:r>
      <w:r w:rsidR="000B6E61" w:rsidRPr="00B84E53">
        <w:rPr>
          <w:rFonts w:ascii="Century Gothic" w:hAnsi="Century Gothic"/>
          <w:sz w:val="24"/>
          <w:szCs w:val="24"/>
        </w:rPr>
        <w:t>.</w:t>
      </w:r>
    </w:p>
    <w:p w14:paraId="34598937" w14:textId="77777777" w:rsidR="000B6E61" w:rsidRDefault="000B6E61" w:rsidP="00FC540B">
      <w:pPr>
        <w:spacing w:after="0" w:line="240" w:lineRule="auto"/>
        <w:rPr>
          <w:rFonts w:ascii="Century Gothic" w:hAnsi="Century Gothic"/>
          <w:sz w:val="24"/>
          <w:szCs w:val="24"/>
        </w:rPr>
      </w:pPr>
    </w:p>
    <w:p w14:paraId="69F1CD88" w14:textId="06B741BC" w:rsidR="000B6E61" w:rsidRDefault="000B6E61" w:rsidP="00FC540B">
      <w:pPr>
        <w:spacing w:after="0" w:line="240" w:lineRule="auto"/>
        <w:rPr>
          <w:rFonts w:ascii="Century Gothic" w:hAnsi="Century Gothic"/>
          <w:sz w:val="24"/>
          <w:szCs w:val="24"/>
        </w:rPr>
      </w:pPr>
      <w:r w:rsidRPr="00B84E53">
        <w:rPr>
          <w:rFonts w:ascii="Century Gothic" w:hAnsi="Century Gothic"/>
          <w:sz w:val="24"/>
          <w:szCs w:val="24"/>
        </w:rPr>
        <w:t xml:space="preserve">East Coast College </w:t>
      </w:r>
      <w:r w:rsidR="00600769">
        <w:rPr>
          <w:rFonts w:ascii="Century Gothic" w:hAnsi="Century Gothic"/>
          <w:sz w:val="24"/>
          <w:szCs w:val="24"/>
        </w:rPr>
        <w:t>has, t</w:t>
      </w:r>
      <w:r w:rsidR="00600769" w:rsidRPr="00B84E53">
        <w:rPr>
          <w:rFonts w:ascii="Century Gothic" w:hAnsi="Century Gothic"/>
          <w:sz w:val="24"/>
          <w:szCs w:val="24"/>
        </w:rPr>
        <w:t>hrough curriculum plann</w:t>
      </w:r>
      <w:r w:rsidR="00600769">
        <w:rPr>
          <w:rFonts w:ascii="Century Gothic" w:hAnsi="Century Gothic"/>
          <w:sz w:val="24"/>
          <w:szCs w:val="24"/>
        </w:rPr>
        <w:t>ing and an examination of the C</w:t>
      </w:r>
      <w:r w:rsidR="00600769" w:rsidRPr="00B84E53">
        <w:rPr>
          <w:rFonts w:ascii="Century Gothic" w:hAnsi="Century Gothic"/>
          <w:sz w:val="24"/>
          <w:szCs w:val="24"/>
        </w:rPr>
        <w:t xml:space="preserve">ollege’s ability </w:t>
      </w:r>
      <w:r w:rsidR="00600769">
        <w:rPr>
          <w:rFonts w:ascii="Century Gothic" w:hAnsi="Century Gothic"/>
          <w:sz w:val="24"/>
          <w:szCs w:val="24"/>
        </w:rPr>
        <w:t xml:space="preserve">to </w:t>
      </w:r>
      <w:r w:rsidR="00600769" w:rsidRPr="00B84E53">
        <w:rPr>
          <w:rFonts w:ascii="Century Gothic" w:hAnsi="Century Gothic"/>
          <w:sz w:val="24"/>
          <w:szCs w:val="24"/>
        </w:rPr>
        <w:t xml:space="preserve">deliver </w:t>
      </w:r>
      <w:r w:rsidR="00600769">
        <w:rPr>
          <w:rFonts w:ascii="Century Gothic" w:hAnsi="Century Gothic"/>
          <w:sz w:val="24"/>
          <w:szCs w:val="24"/>
        </w:rPr>
        <w:t>and</w:t>
      </w:r>
      <w:r w:rsidR="00600769" w:rsidRPr="00B84E53">
        <w:rPr>
          <w:rFonts w:ascii="Century Gothic" w:hAnsi="Century Gothic"/>
          <w:sz w:val="24"/>
          <w:szCs w:val="24"/>
        </w:rPr>
        <w:t xml:space="preserve"> provide quality student</w:t>
      </w:r>
      <w:r w:rsidR="00600769">
        <w:rPr>
          <w:rFonts w:ascii="Century Gothic" w:hAnsi="Century Gothic"/>
          <w:sz w:val="24"/>
          <w:szCs w:val="24"/>
        </w:rPr>
        <w:t xml:space="preserve"> outcomes, identified areas where is </w:t>
      </w:r>
      <w:r w:rsidRPr="00B84E53">
        <w:rPr>
          <w:rFonts w:ascii="Century Gothic" w:hAnsi="Century Gothic"/>
          <w:sz w:val="24"/>
          <w:szCs w:val="24"/>
        </w:rPr>
        <w:t>wishes to source external providers to support local</w:t>
      </w:r>
      <w:r w:rsidR="00600769">
        <w:rPr>
          <w:rFonts w:ascii="Century Gothic" w:hAnsi="Century Gothic"/>
          <w:sz w:val="24"/>
          <w:szCs w:val="24"/>
        </w:rPr>
        <w:t xml:space="preserve"> (Suffolk and Norfolk) </w:t>
      </w:r>
      <w:r w:rsidRPr="00B84E53">
        <w:rPr>
          <w:rFonts w:ascii="Century Gothic" w:hAnsi="Century Gothic"/>
          <w:sz w:val="24"/>
          <w:szCs w:val="24"/>
        </w:rPr>
        <w:t xml:space="preserve">delivery. </w:t>
      </w:r>
      <w:r w:rsidR="005505E2">
        <w:rPr>
          <w:rFonts w:ascii="Century Gothic" w:hAnsi="Century Gothic"/>
          <w:sz w:val="24"/>
          <w:szCs w:val="24"/>
        </w:rPr>
        <w:t>The college has also sought ESFA clarification for any increase in provision in future years and whether formal approval was required. ESFA have confirmed that the ECC curriculum plan for 202</w:t>
      </w:r>
      <w:r w:rsidR="00794E1B">
        <w:rPr>
          <w:rFonts w:ascii="Century Gothic" w:hAnsi="Century Gothic"/>
          <w:sz w:val="24"/>
          <w:szCs w:val="24"/>
        </w:rPr>
        <w:t>5</w:t>
      </w:r>
      <w:r w:rsidR="005505E2">
        <w:rPr>
          <w:rFonts w:ascii="Century Gothic" w:hAnsi="Century Gothic"/>
          <w:sz w:val="24"/>
          <w:szCs w:val="24"/>
        </w:rPr>
        <w:t>/2</w:t>
      </w:r>
      <w:r w:rsidR="00794E1B">
        <w:rPr>
          <w:rFonts w:ascii="Century Gothic" w:hAnsi="Century Gothic"/>
          <w:sz w:val="24"/>
          <w:szCs w:val="24"/>
        </w:rPr>
        <w:t>6</w:t>
      </w:r>
      <w:r w:rsidR="005505E2">
        <w:rPr>
          <w:rFonts w:ascii="Century Gothic" w:hAnsi="Century Gothic"/>
          <w:sz w:val="24"/>
          <w:szCs w:val="24"/>
        </w:rPr>
        <w:t xml:space="preserve"> can be approved by the governing body only, as there are no new providers and the overall subcontracting funding does not exceed 25% of ECC overall funding allocation. </w:t>
      </w:r>
    </w:p>
    <w:p w14:paraId="7C66D057" w14:textId="77777777" w:rsidR="003A429D" w:rsidRDefault="003A429D" w:rsidP="00FC540B">
      <w:pPr>
        <w:spacing w:after="0" w:line="240" w:lineRule="auto"/>
        <w:rPr>
          <w:rFonts w:ascii="Century Gothic" w:hAnsi="Century Gothic"/>
          <w:sz w:val="24"/>
          <w:szCs w:val="24"/>
        </w:rPr>
      </w:pPr>
    </w:p>
    <w:p w14:paraId="0F539611" w14:textId="77777777" w:rsidR="003A429D" w:rsidRPr="003A429D" w:rsidRDefault="003A429D" w:rsidP="00FC540B">
      <w:pPr>
        <w:spacing w:after="0" w:line="240" w:lineRule="auto"/>
        <w:rPr>
          <w:rFonts w:ascii="Century Gothic" w:hAnsi="Century Gothic"/>
          <w:b/>
          <w:sz w:val="24"/>
          <w:szCs w:val="24"/>
        </w:rPr>
      </w:pPr>
      <w:r w:rsidRPr="003A429D">
        <w:rPr>
          <w:rFonts w:ascii="Century Gothic" w:hAnsi="Century Gothic"/>
          <w:b/>
          <w:sz w:val="24"/>
          <w:szCs w:val="24"/>
        </w:rPr>
        <w:t xml:space="preserve">Tender </w:t>
      </w:r>
      <w:r w:rsidR="00611026">
        <w:rPr>
          <w:rFonts w:ascii="Century Gothic" w:hAnsi="Century Gothic"/>
          <w:b/>
          <w:sz w:val="24"/>
          <w:szCs w:val="24"/>
        </w:rPr>
        <w:t>Process</w:t>
      </w:r>
    </w:p>
    <w:p w14:paraId="14B0B26A" w14:textId="77777777" w:rsidR="003A429D" w:rsidRDefault="003A429D" w:rsidP="00FC540B">
      <w:pPr>
        <w:spacing w:after="0" w:line="240" w:lineRule="auto"/>
        <w:rPr>
          <w:rFonts w:ascii="Century Gothic" w:hAnsi="Century Gothic"/>
          <w:sz w:val="24"/>
          <w:szCs w:val="24"/>
        </w:rPr>
      </w:pPr>
    </w:p>
    <w:p w14:paraId="59B954BD" w14:textId="77777777" w:rsidR="003A429D" w:rsidRDefault="003A429D" w:rsidP="00FC540B">
      <w:pPr>
        <w:spacing w:after="0" w:line="240" w:lineRule="auto"/>
        <w:rPr>
          <w:rFonts w:ascii="Century Gothic" w:hAnsi="Century Gothic" w:cs="Arial"/>
          <w:color w:val="0B0C0C"/>
        </w:rPr>
      </w:pPr>
      <w:r>
        <w:rPr>
          <w:rFonts w:ascii="Century Gothic" w:hAnsi="Century Gothic" w:cs="Arial"/>
          <w:color w:val="0B0C0C"/>
        </w:rPr>
        <w:t xml:space="preserve">The College is inviting potential providers of the provision listed below to participate in the tendering process. The process will involve the completion of the </w:t>
      </w:r>
      <w:r w:rsidR="009D67ED">
        <w:rPr>
          <w:rFonts w:ascii="Century Gothic" w:hAnsi="Century Gothic" w:cs="Arial"/>
          <w:color w:val="0B0C0C"/>
        </w:rPr>
        <w:t xml:space="preserve">Invitation </w:t>
      </w:r>
      <w:proofErr w:type="gramStart"/>
      <w:r w:rsidR="009D67ED">
        <w:rPr>
          <w:rFonts w:ascii="Century Gothic" w:hAnsi="Century Gothic" w:cs="Arial"/>
          <w:color w:val="0B0C0C"/>
        </w:rPr>
        <w:t>To</w:t>
      </w:r>
      <w:proofErr w:type="gramEnd"/>
      <w:r w:rsidR="009D67ED">
        <w:rPr>
          <w:rFonts w:ascii="Century Gothic" w:hAnsi="Century Gothic" w:cs="Arial"/>
          <w:color w:val="0B0C0C"/>
        </w:rPr>
        <w:t xml:space="preserve"> Tender</w:t>
      </w:r>
      <w:r>
        <w:rPr>
          <w:rFonts w:ascii="Century Gothic" w:hAnsi="Century Gothic" w:cs="Arial"/>
          <w:color w:val="0B0C0C"/>
        </w:rPr>
        <w:t xml:space="preserve"> which can be found at Appendix 1</w:t>
      </w:r>
      <w:r w:rsidR="00661D41">
        <w:rPr>
          <w:rFonts w:ascii="Century Gothic" w:hAnsi="Century Gothic" w:cs="Arial"/>
          <w:color w:val="0B0C0C"/>
        </w:rPr>
        <w:t xml:space="preserve"> together with the Statement of Tender, see Appendix 2</w:t>
      </w:r>
      <w:r>
        <w:rPr>
          <w:rFonts w:ascii="Century Gothic" w:hAnsi="Century Gothic" w:cs="Arial"/>
          <w:color w:val="0B0C0C"/>
        </w:rPr>
        <w:t xml:space="preserve">. </w:t>
      </w:r>
      <w:r w:rsidR="00661D41">
        <w:rPr>
          <w:rFonts w:ascii="Century Gothic" w:hAnsi="Century Gothic" w:cs="Arial"/>
          <w:color w:val="0B0C0C"/>
        </w:rPr>
        <w:t>The Conditions of Tender can be found at Appendix 3.</w:t>
      </w:r>
    </w:p>
    <w:p w14:paraId="35F4B465" w14:textId="77777777" w:rsidR="003A429D" w:rsidRDefault="003A429D" w:rsidP="00FC540B">
      <w:pPr>
        <w:spacing w:after="0" w:line="240" w:lineRule="auto"/>
        <w:rPr>
          <w:rFonts w:ascii="Century Gothic" w:hAnsi="Century Gothic" w:cs="Arial"/>
          <w:color w:val="0B0C0C"/>
        </w:rPr>
      </w:pPr>
    </w:p>
    <w:p w14:paraId="07B96973" w14:textId="0672EDE4" w:rsidR="003A429D" w:rsidRDefault="003A429D" w:rsidP="00FC540B">
      <w:pPr>
        <w:spacing w:after="0" w:line="240" w:lineRule="auto"/>
        <w:rPr>
          <w:rFonts w:ascii="Century Gothic" w:hAnsi="Century Gothic" w:cs="Arial"/>
          <w:color w:val="0B0C0C"/>
        </w:rPr>
      </w:pPr>
      <w:r>
        <w:rPr>
          <w:rFonts w:ascii="Century Gothic" w:hAnsi="Century Gothic" w:cs="Arial"/>
          <w:color w:val="0B0C0C"/>
        </w:rPr>
        <w:t>The College will judge each application against a scoring matrix</w:t>
      </w:r>
      <w:r w:rsidR="00925939">
        <w:rPr>
          <w:rFonts w:ascii="Century Gothic" w:hAnsi="Century Gothic" w:cs="Arial"/>
          <w:color w:val="0B0C0C"/>
        </w:rPr>
        <w:t xml:space="preserve">, see Appendix </w:t>
      </w:r>
      <w:r w:rsidR="00661D41">
        <w:rPr>
          <w:rFonts w:ascii="Century Gothic" w:hAnsi="Century Gothic" w:cs="Arial"/>
          <w:color w:val="0B0C0C"/>
        </w:rPr>
        <w:t>4</w:t>
      </w:r>
      <w:r>
        <w:rPr>
          <w:rFonts w:ascii="Century Gothic" w:hAnsi="Century Gothic" w:cs="Arial"/>
          <w:color w:val="0B0C0C"/>
        </w:rPr>
        <w:t xml:space="preserve">. All providers whose tender has been successful will be notified </w:t>
      </w:r>
      <w:r w:rsidR="009D67ED">
        <w:rPr>
          <w:rFonts w:ascii="Century Gothic" w:hAnsi="Century Gothic" w:cs="Arial"/>
          <w:color w:val="0B0C0C"/>
        </w:rPr>
        <w:t xml:space="preserve">within </w:t>
      </w:r>
      <w:r w:rsidR="00997640">
        <w:rPr>
          <w:rFonts w:ascii="Century Gothic" w:hAnsi="Century Gothic" w:cs="Arial"/>
          <w:color w:val="0B0C0C"/>
        </w:rPr>
        <w:t>10</w:t>
      </w:r>
      <w:r>
        <w:rPr>
          <w:rFonts w:ascii="Century Gothic" w:hAnsi="Century Gothic" w:cs="Arial"/>
          <w:color w:val="0B0C0C"/>
        </w:rPr>
        <w:t xml:space="preserve"> days </w:t>
      </w:r>
      <w:r w:rsidR="009D67ED">
        <w:rPr>
          <w:rFonts w:ascii="Century Gothic" w:hAnsi="Century Gothic" w:cs="Arial"/>
          <w:color w:val="0B0C0C"/>
        </w:rPr>
        <w:t>of</w:t>
      </w:r>
      <w:r>
        <w:rPr>
          <w:rFonts w:ascii="Century Gothic" w:hAnsi="Century Gothic" w:cs="Arial"/>
          <w:color w:val="0B0C0C"/>
        </w:rPr>
        <w:t xml:space="preserve"> the closing </w:t>
      </w:r>
      <w:r w:rsidRPr="00FF4E15">
        <w:rPr>
          <w:rFonts w:ascii="Century Gothic" w:hAnsi="Century Gothic" w:cs="Arial"/>
          <w:color w:val="0B0C0C"/>
        </w:rPr>
        <w:t>date</w:t>
      </w:r>
      <w:r w:rsidR="007D0DF2">
        <w:rPr>
          <w:rFonts w:ascii="Century Gothic" w:hAnsi="Century Gothic" w:cs="Arial"/>
          <w:color w:val="0B0C0C"/>
        </w:rPr>
        <w:t xml:space="preserve"> on </w:t>
      </w:r>
      <w:r w:rsidR="007D0DF2" w:rsidRPr="007D0DF2">
        <w:rPr>
          <w:rFonts w:ascii="Century Gothic" w:hAnsi="Century Gothic" w:cs="Arial"/>
          <w:b/>
          <w:bCs/>
          <w:color w:val="0B0C0C"/>
        </w:rPr>
        <w:t>21/3/2025</w:t>
      </w:r>
    </w:p>
    <w:p w14:paraId="48C7A663" w14:textId="77777777" w:rsidR="003A429D" w:rsidRDefault="003A429D" w:rsidP="00FC540B">
      <w:pPr>
        <w:spacing w:after="0" w:line="240" w:lineRule="auto"/>
        <w:rPr>
          <w:rFonts w:ascii="Century Gothic" w:hAnsi="Century Gothic" w:cs="Arial"/>
          <w:color w:val="0B0C0C"/>
        </w:rPr>
      </w:pPr>
    </w:p>
    <w:p w14:paraId="2E46F2A4" w14:textId="149C10FD" w:rsidR="003A429D" w:rsidRDefault="003A429D" w:rsidP="00FC540B">
      <w:pPr>
        <w:spacing w:after="0" w:line="240" w:lineRule="auto"/>
        <w:rPr>
          <w:rFonts w:ascii="Century Gothic" w:hAnsi="Century Gothic"/>
          <w:sz w:val="24"/>
          <w:szCs w:val="24"/>
        </w:rPr>
      </w:pPr>
      <w:r>
        <w:rPr>
          <w:rFonts w:ascii="Century Gothic" w:hAnsi="Century Gothic" w:cs="Arial"/>
          <w:color w:val="0B0C0C"/>
        </w:rPr>
        <w:t>Note that the College will remain responsible for ongoi</w:t>
      </w:r>
      <w:r w:rsidR="00B95851">
        <w:rPr>
          <w:rFonts w:ascii="Century Gothic" w:hAnsi="Century Gothic" w:cs="Arial"/>
          <w:color w:val="0B0C0C"/>
        </w:rPr>
        <w:t xml:space="preserve">ng quality assurance activities and </w:t>
      </w:r>
      <w:r w:rsidR="00B95851" w:rsidRPr="00C55C90">
        <w:rPr>
          <w:rFonts w:ascii="Century Gothic" w:hAnsi="Century Gothic"/>
        </w:rPr>
        <w:t>will charge a management fee</w:t>
      </w:r>
      <w:r w:rsidR="00B95851">
        <w:rPr>
          <w:rFonts w:ascii="Century Gothic" w:hAnsi="Century Gothic"/>
        </w:rPr>
        <w:t>,</w:t>
      </w:r>
      <w:r w:rsidR="00B95851" w:rsidRPr="00C55C90">
        <w:rPr>
          <w:rFonts w:ascii="Century Gothic" w:hAnsi="Century Gothic"/>
        </w:rPr>
        <w:t xml:space="preserve"> </w:t>
      </w:r>
      <w:r w:rsidR="007C12BB">
        <w:rPr>
          <w:rFonts w:ascii="Century Gothic" w:hAnsi="Century Gothic"/>
        </w:rPr>
        <w:t>which be agreed with each provider</w:t>
      </w:r>
      <w:r w:rsidR="00FF4E15">
        <w:rPr>
          <w:rFonts w:ascii="Century Gothic" w:hAnsi="Century Gothic"/>
        </w:rPr>
        <w:t xml:space="preserve"> at the issue of the contract/ review of provision in 202</w:t>
      </w:r>
      <w:r w:rsidR="00B70FB1">
        <w:rPr>
          <w:rFonts w:ascii="Century Gothic" w:hAnsi="Century Gothic"/>
        </w:rPr>
        <w:t>5/26</w:t>
      </w:r>
      <w:r w:rsidR="00FF4E15">
        <w:rPr>
          <w:rFonts w:ascii="Century Gothic" w:hAnsi="Century Gothic"/>
        </w:rPr>
        <w:t>.</w:t>
      </w:r>
    </w:p>
    <w:p w14:paraId="72D74CC6" w14:textId="77777777" w:rsidR="003A429D" w:rsidRDefault="003A429D" w:rsidP="00FC540B">
      <w:pPr>
        <w:spacing w:after="0" w:line="240" w:lineRule="auto"/>
        <w:rPr>
          <w:rFonts w:ascii="Century Gothic" w:hAnsi="Century Gothic"/>
        </w:rPr>
      </w:pPr>
    </w:p>
    <w:p w14:paraId="2138726A" w14:textId="45DD8F75" w:rsidR="00E53833" w:rsidRDefault="00611026" w:rsidP="00FC540B">
      <w:pPr>
        <w:spacing w:after="0" w:line="240" w:lineRule="auto"/>
        <w:rPr>
          <w:rFonts w:ascii="Century Gothic" w:hAnsi="Century Gothic"/>
          <w:b/>
        </w:rPr>
      </w:pPr>
      <w:r w:rsidRPr="00FF4E15">
        <w:rPr>
          <w:rFonts w:ascii="Century Gothic" w:hAnsi="Century Gothic"/>
          <w:b/>
        </w:rPr>
        <w:t>Provision to be Sub-contracted</w:t>
      </w:r>
    </w:p>
    <w:p w14:paraId="0D8A0BE7" w14:textId="77777777" w:rsidR="00611026" w:rsidRDefault="00611026" w:rsidP="00FC540B">
      <w:pPr>
        <w:spacing w:after="0" w:line="240" w:lineRule="auto"/>
        <w:rPr>
          <w:rFonts w:ascii="Century Gothic" w:hAnsi="Century Gothic"/>
          <w:b/>
        </w:rPr>
      </w:pPr>
    </w:p>
    <w:p w14:paraId="03F743A9" w14:textId="77777777" w:rsidR="00611026" w:rsidRPr="006B7891" w:rsidRDefault="00611026" w:rsidP="00FC540B">
      <w:pPr>
        <w:spacing w:after="0" w:line="240" w:lineRule="auto"/>
        <w:rPr>
          <w:rFonts w:ascii="Century Gothic" w:hAnsi="Century Gothic"/>
        </w:rPr>
      </w:pPr>
      <w:r w:rsidRPr="006B7891">
        <w:rPr>
          <w:rFonts w:ascii="Century Gothic" w:hAnsi="Century Gothic"/>
        </w:rPr>
        <w:t xml:space="preserve">The College is seeking applications for sub-contracted provision for the </w:t>
      </w:r>
      <w:r w:rsidR="00CD06D2" w:rsidRPr="006B7891">
        <w:rPr>
          <w:rFonts w:ascii="Century Gothic" w:hAnsi="Century Gothic"/>
        </w:rPr>
        <w:t>following provision-</w:t>
      </w:r>
    </w:p>
    <w:p w14:paraId="3FEB5A59" w14:textId="78F48918" w:rsidR="00E53833" w:rsidRDefault="00E53833" w:rsidP="00FC540B">
      <w:pPr>
        <w:spacing w:after="0" w:line="240" w:lineRule="auto"/>
        <w:rPr>
          <w:rFonts w:ascii="Century Gothic" w:hAnsi="Century Gothic"/>
          <w:highlight w:val="yellow"/>
        </w:rPr>
      </w:pPr>
    </w:p>
    <w:p w14:paraId="583C4ABD" w14:textId="1C0C1997" w:rsidR="00FF4E15" w:rsidRDefault="00FF4E15" w:rsidP="00FC540B">
      <w:pPr>
        <w:spacing w:after="0" w:line="240" w:lineRule="auto"/>
        <w:rPr>
          <w:rFonts w:ascii="Century Gothic" w:hAnsi="Century Gothic"/>
          <w:highlight w:val="yellow"/>
        </w:rPr>
      </w:pPr>
    </w:p>
    <w:p w14:paraId="173E8309" w14:textId="5435A731" w:rsidR="00FF4E15" w:rsidRDefault="00FF4E15" w:rsidP="00FC540B">
      <w:pPr>
        <w:spacing w:after="0" w:line="240" w:lineRule="auto"/>
        <w:rPr>
          <w:rFonts w:ascii="Century Gothic" w:hAnsi="Century Gothic"/>
          <w:highlight w:val="yellow"/>
        </w:rPr>
      </w:pPr>
    </w:p>
    <w:p w14:paraId="295BE21C" w14:textId="44FE27CF" w:rsidR="00FF4E15" w:rsidRDefault="00FF4E15" w:rsidP="00FC540B">
      <w:pPr>
        <w:spacing w:after="0" w:line="240" w:lineRule="auto"/>
        <w:rPr>
          <w:rFonts w:ascii="Century Gothic" w:hAnsi="Century Gothic"/>
          <w:highlight w:val="yellow"/>
        </w:rPr>
      </w:pPr>
    </w:p>
    <w:p w14:paraId="654A0FA8" w14:textId="77777777" w:rsidR="00FF4E15" w:rsidRDefault="00FF4E15" w:rsidP="00FC540B">
      <w:pPr>
        <w:spacing w:after="0" w:line="240" w:lineRule="auto"/>
        <w:rPr>
          <w:rFonts w:ascii="Century Gothic" w:hAnsi="Century Gothic"/>
          <w:highlight w:val="yellow"/>
        </w:rPr>
      </w:pPr>
    </w:p>
    <w:tbl>
      <w:tblPr>
        <w:tblStyle w:val="TableGrid"/>
        <w:tblW w:w="0" w:type="auto"/>
        <w:tblLook w:val="04A0" w:firstRow="1" w:lastRow="0" w:firstColumn="1" w:lastColumn="0" w:noHBand="0" w:noVBand="1"/>
      </w:tblPr>
      <w:tblGrid>
        <w:gridCol w:w="2908"/>
        <w:gridCol w:w="3607"/>
        <w:gridCol w:w="1867"/>
        <w:gridCol w:w="1458"/>
      </w:tblGrid>
      <w:tr w:rsidR="00C17941" w14:paraId="5E19207D" w14:textId="7E6CD71C" w:rsidTr="00B70FB1">
        <w:tc>
          <w:tcPr>
            <w:tcW w:w="2908" w:type="dxa"/>
          </w:tcPr>
          <w:p w14:paraId="42F5EBC3" w14:textId="77777777" w:rsidR="00C17941" w:rsidRPr="00431E7E" w:rsidRDefault="00C17941" w:rsidP="00E53833">
            <w:pPr>
              <w:jc w:val="center"/>
              <w:rPr>
                <w:rFonts w:ascii="Century Gothic" w:hAnsi="Century Gothic"/>
                <w:b/>
              </w:rPr>
            </w:pPr>
            <w:r w:rsidRPr="00431E7E">
              <w:rPr>
                <w:rFonts w:ascii="Century Gothic" w:hAnsi="Century Gothic"/>
                <w:b/>
              </w:rPr>
              <w:lastRenderedPageBreak/>
              <w:t>Required provision</w:t>
            </w:r>
          </w:p>
        </w:tc>
        <w:tc>
          <w:tcPr>
            <w:tcW w:w="3607" w:type="dxa"/>
          </w:tcPr>
          <w:p w14:paraId="6F62731A" w14:textId="77777777" w:rsidR="00C17941" w:rsidRPr="00431E7E" w:rsidRDefault="00C17941" w:rsidP="00E53833">
            <w:pPr>
              <w:widowControl w:val="0"/>
              <w:tabs>
                <w:tab w:val="left" w:pos="1553"/>
                <w:tab w:val="left" w:pos="1554"/>
              </w:tabs>
              <w:autoSpaceDE w:val="0"/>
              <w:autoSpaceDN w:val="0"/>
              <w:spacing w:line="292" w:lineRule="exact"/>
              <w:jc w:val="center"/>
              <w:rPr>
                <w:b/>
                <w:sz w:val="24"/>
              </w:rPr>
            </w:pPr>
            <w:r w:rsidRPr="00431E7E">
              <w:rPr>
                <w:b/>
                <w:sz w:val="24"/>
              </w:rPr>
              <w:t>Justification</w:t>
            </w:r>
          </w:p>
        </w:tc>
        <w:tc>
          <w:tcPr>
            <w:tcW w:w="1867" w:type="dxa"/>
          </w:tcPr>
          <w:p w14:paraId="2EE68F6D" w14:textId="77777777" w:rsidR="00C17941" w:rsidRPr="00431E7E" w:rsidRDefault="00C17941" w:rsidP="00E53833">
            <w:pPr>
              <w:jc w:val="center"/>
              <w:rPr>
                <w:rFonts w:ascii="Century Gothic" w:hAnsi="Century Gothic"/>
                <w:b/>
              </w:rPr>
            </w:pPr>
            <w:r w:rsidRPr="00431E7E">
              <w:rPr>
                <w:rFonts w:ascii="Century Gothic" w:hAnsi="Century Gothic"/>
                <w:b/>
              </w:rPr>
              <w:t xml:space="preserve">Specifics </w:t>
            </w:r>
          </w:p>
        </w:tc>
        <w:tc>
          <w:tcPr>
            <w:tcW w:w="1458" w:type="dxa"/>
          </w:tcPr>
          <w:p w14:paraId="308542BC" w14:textId="25A43A93" w:rsidR="00C17941" w:rsidRPr="00431E7E" w:rsidRDefault="00C17941" w:rsidP="00E53833">
            <w:pPr>
              <w:jc w:val="center"/>
              <w:rPr>
                <w:rFonts w:ascii="Century Gothic" w:hAnsi="Century Gothic"/>
                <w:b/>
              </w:rPr>
            </w:pPr>
            <w:r>
              <w:rPr>
                <w:rFonts w:ascii="Century Gothic" w:hAnsi="Century Gothic"/>
                <w:b/>
              </w:rPr>
              <w:t xml:space="preserve">Volume </w:t>
            </w:r>
          </w:p>
        </w:tc>
      </w:tr>
      <w:tr w:rsidR="00C17941" w14:paraId="48E3B4F3" w14:textId="035DFFFD" w:rsidTr="00B70FB1">
        <w:tc>
          <w:tcPr>
            <w:tcW w:w="2908" w:type="dxa"/>
          </w:tcPr>
          <w:p w14:paraId="618A598E" w14:textId="77777777" w:rsidR="00FF4E15" w:rsidRDefault="00FF4E15" w:rsidP="00FF4E15">
            <w:pPr>
              <w:pStyle w:val="ListParagraph"/>
              <w:numPr>
                <w:ilvl w:val="0"/>
                <w:numId w:val="21"/>
              </w:numPr>
              <w:spacing w:before="120" w:after="120"/>
              <w:rPr>
                <w:rFonts w:ascii="Century Gothic" w:eastAsia="Times New Roman" w:hAnsi="Century Gothic" w:cstheme="minorHAnsi"/>
                <w:lang w:eastAsia="en-GB"/>
              </w:rPr>
            </w:pPr>
            <w:r>
              <w:rPr>
                <w:rFonts w:ascii="Century Gothic" w:eastAsia="Times New Roman" w:hAnsi="Century Gothic" w:cstheme="minorHAnsi"/>
                <w:lang w:eastAsia="en-GB"/>
              </w:rPr>
              <w:t>Performing Arts level 3 To support high achievers to develop vocational skills to aid positive progression to higher education.</w:t>
            </w:r>
          </w:p>
          <w:p w14:paraId="050037BA" w14:textId="0D506DA0" w:rsidR="00C17941" w:rsidRPr="006B7891" w:rsidRDefault="00C17941" w:rsidP="00FF4E15">
            <w:pPr>
              <w:pStyle w:val="ListParagraph"/>
              <w:spacing w:before="120" w:after="120"/>
              <w:rPr>
                <w:rFonts w:ascii="Century Gothic" w:hAnsi="Century Gothic"/>
              </w:rPr>
            </w:pPr>
          </w:p>
        </w:tc>
        <w:tc>
          <w:tcPr>
            <w:tcW w:w="3607" w:type="dxa"/>
          </w:tcPr>
          <w:p w14:paraId="746685A7" w14:textId="77777777" w:rsidR="00C17941" w:rsidRPr="006B7891" w:rsidRDefault="00C17941" w:rsidP="00E53833">
            <w:pPr>
              <w:pStyle w:val="ListParagraph"/>
              <w:widowControl w:val="0"/>
              <w:numPr>
                <w:ilvl w:val="0"/>
                <w:numId w:val="21"/>
              </w:numPr>
              <w:tabs>
                <w:tab w:val="left" w:pos="1553"/>
                <w:tab w:val="left" w:pos="1554"/>
              </w:tabs>
              <w:autoSpaceDE w:val="0"/>
              <w:autoSpaceDN w:val="0"/>
              <w:spacing w:line="292" w:lineRule="exact"/>
              <w:rPr>
                <w:rFonts w:ascii="Century Gothic" w:hAnsi="Century Gothic"/>
                <w:sz w:val="24"/>
              </w:rPr>
            </w:pPr>
            <w:r w:rsidRPr="006B7891">
              <w:rPr>
                <w:rFonts w:ascii="Century Gothic" w:hAnsi="Century Gothic"/>
                <w:sz w:val="24"/>
              </w:rPr>
              <w:t>enhances the opportunities available for</w:t>
            </w:r>
            <w:r w:rsidRPr="006B7891">
              <w:rPr>
                <w:rFonts w:ascii="Century Gothic" w:hAnsi="Century Gothic"/>
                <w:spacing w:val="-6"/>
                <w:sz w:val="24"/>
              </w:rPr>
              <w:t xml:space="preserve"> </w:t>
            </w:r>
            <w:r w:rsidRPr="006B7891">
              <w:rPr>
                <w:rFonts w:ascii="Century Gothic" w:hAnsi="Century Gothic"/>
                <w:sz w:val="24"/>
              </w:rPr>
              <w:t>learners</w:t>
            </w:r>
          </w:p>
          <w:p w14:paraId="1C224285" w14:textId="77777777" w:rsidR="00C17941" w:rsidRPr="006B7891" w:rsidRDefault="00C17941" w:rsidP="00E53833">
            <w:pPr>
              <w:pStyle w:val="ListParagraph"/>
              <w:widowControl w:val="0"/>
              <w:numPr>
                <w:ilvl w:val="0"/>
                <w:numId w:val="21"/>
              </w:numPr>
              <w:tabs>
                <w:tab w:val="left" w:pos="1553"/>
                <w:tab w:val="left" w:pos="1554"/>
              </w:tabs>
              <w:autoSpaceDE w:val="0"/>
              <w:autoSpaceDN w:val="0"/>
              <w:ind w:right="553"/>
              <w:rPr>
                <w:rFonts w:ascii="Century Gothic" w:hAnsi="Century Gothic"/>
                <w:sz w:val="24"/>
              </w:rPr>
            </w:pPr>
            <w:r w:rsidRPr="006B7891">
              <w:rPr>
                <w:rFonts w:ascii="Century Gothic" w:hAnsi="Century Gothic"/>
                <w:sz w:val="24"/>
              </w:rPr>
              <w:t>fills gaps in niche or expert provision or provides better access to training facilities</w:t>
            </w:r>
          </w:p>
          <w:p w14:paraId="695E9CB0" w14:textId="77777777" w:rsidR="00C17941" w:rsidRPr="006B7891" w:rsidRDefault="00C17941" w:rsidP="00E53833">
            <w:pPr>
              <w:rPr>
                <w:rFonts w:ascii="Century Gothic" w:hAnsi="Century Gothic"/>
                <w:highlight w:val="yellow"/>
              </w:rPr>
            </w:pPr>
          </w:p>
        </w:tc>
        <w:tc>
          <w:tcPr>
            <w:tcW w:w="1867" w:type="dxa"/>
          </w:tcPr>
          <w:p w14:paraId="6DAE0ADD" w14:textId="77777777" w:rsidR="00C17941" w:rsidRPr="006B7891" w:rsidRDefault="00C17941" w:rsidP="00FC540B">
            <w:pPr>
              <w:rPr>
                <w:rFonts w:ascii="Century Gothic" w:hAnsi="Century Gothic"/>
              </w:rPr>
            </w:pPr>
            <w:r w:rsidRPr="006B7891">
              <w:rPr>
                <w:rFonts w:ascii="Century Gothic" w:hAnsi="Century Gothic"/>
              </w:rPr>
              <w:t xml:space="preserve">The location should be able to deliver in the GY area of need and support students from the wider catchment. </w:t>
            </w:r>
          </w:p>
        </w:tc>
        <w:tc>
          <w:tcPr>
            <w:tcW w:w="1458" w:type="dxa"/>
          </w:tcPr>
          <w:p w14:paraId="1F2C703D" w14:textId="17CCC2B8" w:rsidR="00C17941" w:rsidRDefault="005505E2" w:rsidP="00FC540B">
            <w:pPr>
              <w:rPr>
                <w:rFonts w:ascii="Century Gothic" w:hAnsi="Century Gothic"/>
              </w:rPr>
            </w:pPr>
            <w:r>
              <w:rPr>
                <w:rFonts w:ascii="Century Gothic" w:hAnsi="Century Gothic"/>
              </w:rPr>
              <w:t>2</w:t>
            </w:r>
            <w:r w:rsidR="00FF4E15">
              <w:rPr>
                <w:rFonts w:ascii="Century Gothic" w:hAnsi="Century Gothic"/>
              </w:rPr>
              <w:t>5</w:t>
            </w:r>
          </w:p>
          <w:p w14:paraId="483250A5" w14:textId="2F8889A5" w:rsidR="00C17941" w:rsidRPr="006B7891" w:rsidRDefault="00C17941" w:rsidP="00FC540B">
            <w:pPr>
              <w:rPr>
                <w:rFonts w:ascii="Century Gothic" w:hAnsi="Century Gothic"/>
              </w:rPr>
            </w:pPr>
          </w:p>
        </w:tc>
      </w:tr>
      <w:tr w:rsidR="00C17941" w14:paraId="7DAE03A8" w14:textId="02BED18A" w:rsidTr="00B70FB1">
        <w:tc>
          <w:tcPr>
            <w:tcW w:w="2908" w:type="dxa"/>
          </w:tcPr>
          <w:p w14:paraId="01D4C0C9" w14:textId="77777777" w:rsidR="00FF4E15" w:rsidRDefault="00FF4E15" w:rsidP="00FF4E15">
            <w:pPr>
              <w:pStyle w:val="ListParagraph"/>
              <w:numPr>
                <w:ilvl w:val="0"/>
                <w:numId w:val="22"/>
              </w:numPr>
              <w:spacing w:before="120" w:after="120"/>
              <w:rPr>
                <w:rFonts w:ascii="Century Gothic" w:eastAsia="Times New Roman" w:hAnsi="Century Gothic" w:cstheme="minorHAnsi"/>
                <w:lang w:eastAsia="en-GB"/>
              </w:rPr>
            </w:pPr>
            <w:r>
              <w:rPr>
                <w:rFonts w:ascii="Century Gothic" w:eastAsia="Times New Roman" w:hAnsi="Century Gothic" w:cstheme="minorHAnsi"/>
                <w:lang w:eastAsia="en-GB"/>
              </w:rPr>
              <w:t xml:space="preserve">NEET and SEN provision in Great Yarmouth to support a stepping stones model for ECC progression in the future year. This would be entry and level 1 vocational programmes in Construction, Motor Vehicle and Service Industries.  </w:t>
            </w:r>
          </w:p>
          <w:p w14:paraId="377894DC" w14:textId="70622FE8" w:rsidR="00C17941" w:rsidRPr="006B7891" w:rsidRDefault="00C17941" w:rsidP="00FF4E15">
            <w:pPr>
              <w:pStyle w:val="ListParagraph"/>
              <w:rPr>
                <w:rFonts w:ascii="Century Gothic" w:hAnsi="Century Gothic"/>
              </w:rPr>
            </w:pPr>
          </w:p>
        </w:tc>
        <w:tc>
          <w:tcPr>
            <w:tcW w:w="3607" w:type="dxa"/>
          </w:tcPr>
          <w:p w14:paraId="27F39277" w14:textId="77777777" w:rsidR="00C17941" w:rsidRPr="006B7891" w:rsidRDefault="00C17941" w:rsidP="00431E7E">
            <w:pPr>
              <w:pStyle w:val="ListParagraph"/>
              <w:widowControl w:val="0"/>
              <w:numPr>
                <w:ilvl w:val="0"/>
                <w:numId w:val="22"/>
              </w:numPr>
              <w:tabs>
                <w:tab w:val="left" w:pos="1553"/>
                <w:tab w:val="left" w:pos="1554"/>
              </w:tabs>
              <w:autoSpaceDE w:val="0"/>
              <w:autoSpaceDN w:val="0"/>
              <w:spacing w:line="293" w:lineRule="exact"/>
              <w:rPr>
                <w:rFonts w:ascii="Century Gothic" w:hAnsi="Century Gothic"/>
                <w:sz w:val="24"/>
              </w:rPr>
            </w:pPr>
            <w:r w:rsidRPr="006B7891">
              <w:rPr>
                <w:rFonts w:ascii="Century Gothic" w:hAnsi="Century Gothic"/>
                <w:sz w:val="24"/>
              </w:rPr>
              <w:t>offers an entry point for disadvantaged groups;</w:t>
            </w:r>
            <w:r w:rsidRPr="006B7891">
              <w:rPr>
                <w:rFonts w:ascii="Century Gothic" w:hAnsi="Century Gothic"/>
                <w:spacing w:val="-7"/>
                <w:sz w:val="24"/>
              </w:rPr>
              <w:t xml:space="preserve"> </w:t>
            </w:r>
            <w:r w:rsidRPr="006B7891">
              <w:rPr>
                <w:rFonts w:ascii="Century Gothic" w:hAnsi="Century Gothic"/>
                <w:sz w:val="24"/>
              </w:rPr>
              <w:t>or</w:t>
            </w:r>
          </w:p>
          <w:p w14:paraId="4646B134" w14:textId="77777777" w:rsidR="00C17941" w:rsidRPr="006B7891" w:rsidRDefault="00C17941" w:rsidP="00431E7E">
            <w:pPr>
              <w:pStyle w:val="ListParagraph"/>
              <w:widowControl w:val="0"/>
              <w:numPr>
                <w:ilvl w:val="0"/>
                <w:numId w:val="22"/>
              </w:numPr>
              <w:tabs>
                <w:tab w:val="left" w:pos="1553"/>
                <w:tab w:val="left" w:pos="1554"/>
              </w:tabs>
              <w:autoSpaceDE w:val="0"/>
              <w:autoSpaceDN w:val="0"/>
              <w:ind w:right="919"/>
              <w:rPr>
                <w:rFonts w:ascii="Century Gothic" w:hAnsi="Century Gothic"/>
                <w:sz w:val="24"/>
              </w:rPr>
            </w:pPr>
            <w:r w:rsidRPr="006B7891">
              <w:rPr>
                <w:rFonts w:ascii="Century Gothic" w:hAnsi="Century Gothic"/>
                <w:sz w:val="24"/>
              </w:rPr>
              <w:t>gives consideration of the impact on individuals with shared</w:t>
            </w:r>
            <w:r w:rsidRPr="006B7891">
              <w:rPr>
                <w:rFonts w:ascii="Century Gothic" w:hAnsi="Century Gothic"/>
                <w:spacing w:val="-32"/>
                <w:sz w:val="24"/>
              </w:rPr>
              <w:t xml:space="preserve"> </w:t>
            </w:r>
            <w:r w:rsidRPr="006B7891">
              <w:rPr>
                <w:rFonts w:ascii="Century Gothic" w:hAnsi="Century Gothic"/>
                <w:sz w:val="24"/>
              </w:rPr>
              <w:t>protected characteristics, where there might otherwise be</w:t>
            </w:r>
            <w:r w:rsidRPr="006B7891">
              <w:rPr>
                <w:rFonts w:ascii="Century Gothic" w:hAnsi="Century Gothic"/>
                <w:spacing w:val="-5"/>
                <w:sz w:val="24"/>
              </w:rPr>
              <w:t xml:space="preserve"> </w:t>
            </w:r>
            <w:r w:rsidRPr="006B7891">
              <w:rPr>
                <w:rFonts w:ascii="Century Gothic" w:hAnsi="Century Gothic"/>
                <w:sz w:val="24"/>
              </w:rPr>
              <w:t>gaps</w:t>
            </w:r>
          </w:p>
          <w:p w14:paraId="2108E6CB" w14:textId="77777777" w:rsidR="00C17941" w:rsidRPr="006B7891" w:rsidRDefault="00C17941" w:rsidP="00E53833">
            <w:pPr>
              <w:rPr>
                <w:rFonts w:ascii="Century Gothic" w:hAnsi="Century Gothic"/>
                <w:highlight w:val="yellow"/>
              </w:rPr>
            </w:pPr>
          </w:p>
        </w:tc>
        <w:tc>
          <w:tcPr>
            <w:tcW w:w="1867" w:type="dxa"/>
          </w:tcPr>
          <w:p w14:paraId="6D8AB77C" w14:textId="77777777" w:rsidR="00C17941" w:rsidRPr="006B7891" w:rsidRDefault="00C17941" w:rsidP="00FC540B">
            <w:pPr>
              <w:rPr>
                <w:rFonts w:ascii="Century Gothic" w:hAnsi="Century Gothic"/>
                <w:highlight w:val="yellow"/>
              </w:rPr>
            </w:pPr>
            <w:r w:rsidRPr="006B7891">
              <w:rPr>
                <w:rFonts w:ascii="Century Gothic" w:hAnsi="Century Gothic"/>
              </w:rPr>
              <w:t>ECC catchment area. This would be a fulltime study programme model of all required elements.</w:t>
            </w:r>
          </w:p>
        </w:tc>
        <w:tc>
          <w:tcPr>
            <w:tcW w:w="1458" w:type="dxa"/>
          </w:tcPr>
          <w:p w14:paraId="6D794397" w14:textId="4A9AC48F" w:rsidR="00C17941" w:rsidRPr="006B7891" w:rsidRDefault="005505E2" w:rsidP="00FC540B">
            <w:pPr>
              <w:rPr>
                <w:rFonts w:ascii="Century Gothic" w:hAnsi="Century Gothic"/>
              </w:rPr>
            </w:pPr>
            <w:r>
              <w:rPr>
                <w:rFonts w:ascii="Century Gothic" w:hAnsi="Century Gothic"/>
              </w:rPr>
              <w:t>30</w:t>
            </w:r>
          </w:p>
        </w:tc>
      </w:tr>
      <w:tr w:rsidR="00FF4E15" w14:paraId="617AE60F" w14:textId="77777777" w:rsidTr="00B70FB1">
        <w:tc>
          <w:tcPr>
            <w:tcW w:w="2908" w:type="dxa"/>
          </w:tcPr>
          <w:p w14:paraId="3A242FB3" w14:textId="77777777" w:rsidR="00FF4E15" w:rsidRDefault="00FF4E15" w:rsidP="00FF4E15">
            <w:pPr>
              <w:pStyle w:val="ListParagraph"/>
              <w:numPr>
                <w:ilvl w:val="0"/>
                <w:numId w:val="22"/>
              </w:numPr>
              <w:spacing w:before="120" w:after="120"/>
              <w:rPr>
                <w:rFonts w:ascii="Century Gothic" w:eastAsia="Times New Roman" w:hAnsi="Century Gothic" w:cstheme="minorHAnsi"/>
                <w:lang w:eastAsia="en-GB"/>
              </w:rPr>
            </w:pPr>
            <w:r>
              <w:rPr>
                <w:rFonts w:ascii="Century Gothic" w:eastAsia="Times New Roman" w:hAnsi="Century Gothic" w:cstheme="minorHAnsi"/>
                <w:lang w:eastAsia="en-GB"/>
              </w:rPr>
              <w:t xml:space="preserve">NEET and SEN provision in Great Yarmouth to support a stepping stones model for ECC progression in the future year. This would be entry and level 1 vocational programmes in Construction, Motor Vehicle and Service Industries.  </w:t>
            </w:r>
          </w:p>
          <w:p w14:paraId="3479BF5D" w14:textId="77777777" w:rsidR="00FF4E15" w:rsidRDefault="00FF4E15" w:rsidP="00FF4E15">
            <w:pPr>
              <w:pStyle w:val="ListParagraph"/>
              <w:spacing w:before="120" w:after="120"/>
              <w:rPr>
                <w:rFonts w:ascii="Century Gothic" w:eastAsia="Times New Roman" w:hAnsi="Century Gothic" w:cstheme="minorHAnsi"/>
                <w:lang w:eastAsia="en-GB"/>
              </w:rPr>
            </w:pPr>
          </w:p>
        </w:tc>
        <w:tc>
          <w:tcPr>
            <w:tcW w:w="3607" w:type="dxa"/>
          </w:tcPr>
          <w:p w14:paraId="4A3B7952" w14:textId="12A3C128" w:rsidR="00FF4E15" w:rsidRPr="00B70FB1" w:rsidRDefault="00FF4E15" w:rsidP="00B70FB1">
            <w:pPr>
              <w:pStyle w:val="ListParagraph"/>
              <w:widowControl w:val="0"/>
              <w:numPr>
                <w:ilvl w:val="0"/>
                <w:numId w:val="22"/>
              </w:numPr>
              <w:tabs>
                <w:tab w:val="left" w:pos="1553"/>
                <w:tab w:val="left" w:pos="1554"/>
              </w:tabs>
              <w:autoSpaceDE w:val="0"/>
              <w:autoSpaceDN w:val="0"/>
              <w:spacing w:line="293" w:lineRule="exact"/>
              <w:rPr>
                <w:rFonts w:ascii="Century Gothic" w:hAnsi="Century Gothic"/>
                <w:sz w:val="24"/>
              </w:rPr>
            </w:pPr>
            <w:r w:rsidRPr="006B7891">
              <w:rPr>
                <w:rFonts w:ascii="Century Gothic" w:hAnsi="Century Gothic"/>
                <w:sz w:val="24"/>
              </w:rPr>
              <w:t>offers an entry point for disadvantaged groups;</w:t>
            </w:r>
            <w:r w:rsidRPr="006B7891">
              <w:rPr>
                <w:rFonts w:ascii="Century Gothic" w:hAnsi="Century Gothic"/>
                <w:spacing w:val="-7"/>
                <w:sz w:val="24"/>
              </w:rPr>
              <w:t xml:space="preserve"> </w:t>
            </w:r>
            <w:r w:rsidRPr="006B7891">
              <w:rPr>
                <w:rFonts w:ascii="Century Gothic" w:hAnsi="Century Gothic"/>
                <w:sz w:val="24"/>
              </w:rPr>
              <w:t>or</w:t>
            </w:r>
            <w:r w:rsidR="00B70FB1">
              <w:rPr>
                <w:rFonts w:ascii="Century Gothic" w:hAnsi="Century Gothic"/>
                <w:sz w:val="24"/>
              </w:rPr>
              <w:t xml:space="preserve"> </w:t>
            </w:r>
            <w:r w:rsidRPr="00B70FB1">
              <w:rPr>
                <w:rFonts w:ascii="Century Gothic" w:hAnsi="Century Gothic"/>
                <w:sz w:val="24"/>
              </w:rPr>
              <w:t>gives consideration of the impact on individuals with shared</w:t>
            </w:r>
            <w:r w:rsidRPr="00B70FB1">
              <w:rPr>
                <w:rFonts w:ascii="Century Gothic" w:hAnsi="Century Gothic"/>
                <w:spacing w:val="-32"/>
                <w:sz w:val="24"/>
              </w:rPr>
              <w:t xml:space="preserve"> </w:t>
            </w:r>
            <w:r w:rsidRPr="00B70FB1">
              <w:rPr>
                <w:rFonts w:ascii="Century Gothic" w:hAnsi="Century Gothic"/>
                <w:sz w:val="24"/>
              </w:rPr>
              <w:t>protected characteristics, where there might otherwise be</w:t>
            </w:r>
            <w:r w:rsidRPr="00B70FB1">
              <w:rPr>
                <w:rFonts w:ascii="Century Gothic" w:hAnsi="Century Gothic"/>
                <w:spacing w:val="-5"/>
                <w:sz w:val="24"/>
              </w:rPr>
              <w:t xml:space="preserve"> </w:t>
            </w:r>
            <w:r w:rsidRPr="00B70FB1">
              <w:rPr>
                <w:rFonts w:ascii="Century Gothic" w:hAnsi="Century Gothic"/>
                <w:sz w:val="24"/>
              </w:rPr>
              <w:t>gaps</w:t>
            </w:r>
          </w:p>
          <w:p w14:paraId="3DAF2AE7" w14:textId="77777777" w:rsidR="00FF4E15" w:rsidRPr="00FF4E15" w:rsidRDefault="00FF4E15" w:rsidP="00FF4E15">
            <w:pPr>
              <w:widowControl w:val="0"/>
              <w:tabs>
                <w:tab w:val="left" w:pos="1553"/>
                <w:tab w:val="left" w:pos="1554"/>
              </w:tabs>
              <w:autoSpaceDE w:val="0"/>
              <w:autoSpaceDN w:val="0"/>
              <w:spacing w:line="293" w:lineRule="exact"/>
              <w:ind w:left="360"/>
              <w:rPr>
                <w:rFonts w:ascii="Century Gothic" w:hAnsi="Century Gothic"/>
                <w:sz w:val="24"/>
              </w:rPr>
            </w:pPr>
          </w:p>
        </w:tc>
        <w:tc>
          <w:tcPr>
            <w:tcW w:w="1867" w:type="dxa"/>
          </w:tcPr>
          <w:p w14:paraId="040DAAC6" w14:textId="7CA0F990" w:rsidR="00FF4E15" w:rsidRPr="006B7891" w:rsidRDefault="00FF4E15" w:rsidP="00FF4E15">
            <w:pPr>
              <w:rPr>
                <w:rFonts w:ascii="Century Gothic" w:hAnsi="Century Gothic"/>
              </w:rPr>
            </w:pPr>
            <w:r>
              <w:rPr>
                <w:rFonts w:ascii="Century Gothic" w:hAnsi="Century Gothic"/>
              </w:rPr>
              <w:t xml:space="preserve">The provision would be in the Norwich area. </w:t>
            </w:r>
            <w:r w:rsidRPr="006B7891">
              <w:rPr>
                <w:rFonts w:ascii="Century Gothic" w:hAnsi="Century Gothic"/>
              </w:rPr>
              <w:t>This would be a fulltime study programme model of all required elements.</w:t>
            </w:r>
          </w:p>
        </w:tc>
        <w:tc>
          <w:tcPr>
            <w:tcW w:w="1458" w:type="dxa"/>
          </w:tcPr>
          <w:p w14:paraId="564D08D3" w14:textId="2350E18A" w:rsidR="00FF4E15" w:rsidRDefault="00FF4E15" w:rsidP="00FF4E15">
            <w:pPr>
              <w:rPr>
                <w:rFonts w:ascii="Century Gothic" w:hAnsi="Century Gothic"/>
              </w:rPr>
            </w:pPr>
            <w:r>
              <w:rPr>
                <w:rFonts w:ascii="Century Gothic" w:hAnsi="Century Gothic"/>
              </w:rPr>
              <w:t>130 from Sept 202</w:t>
            </w:r>
            <w:r w:rsidR="00B70FB1">
              <w:rPr>
                <w:rFonts w:ascii="Century Gothic" w:hAnsi="Century Gothic"/>
              </w:rPr>
              <w:t>5</w:t>
            </w:r>
          </w:p>
          <w:p w14:paraId="1B5D3304" w14:textId="56A8F2AB" w:rsidR="00FF4E15" w:rsidRDefault="00FF4E15" w:rsidP="00FF4E15">
            <w:pPr>
              <w:rPr>
                <w:rFonts w:ascii="Century Gothic" w:hAnsi="Century Gothic"/>
              </w:rPr>
            </w:pPr>
            <w:r>
              <w:rPr>
                <w:rFonts w:ascii="Century Gothic" w:hAnsi="Century Gothic"/>
              </w:rPr>
              <w:t>30 from Jan 2026</w:t>
            </w:r>
          </w:p>
        </w:tc>
      </w:tr>
      <w:tr w:rsidR="00FF4E15" w14:paraId="34FAD8AC" w14:textId="77777777" w:rsidTr="00B70FB1">
        <w:tc>
          <w:tcPr>
            <w:tcW w:w="2908" w:type="dxa"/>
          </w:tcPr>
          <w:p w14:paraId="3CA6B737" w14:textId="1EF33C74" w:rsidR="00FF4E15" w:rsidRPr="00FF4E15" w:rsidRDefault="00FF4E15" w:rsidP="00FF4E15">
            <w:pPr>
              <w:pStyle w:val="ListParagraph"/>
              <w:numPr>
                <w:ilvl w:val="0"/>
                <w:numId w:val="22"/>
              </w:numPr>
              <w:spacing w:before="120" w:after="120"/>
              <w:rPr>
                <w:rFonts w:ascii="Century Gothic" w:eastAsia="Times New Roman" w:hAnsi="Century Gothic" w:cstheme="minorHAnsi"/>
                <w:lang w:eastAsia="en-GB"/>
              </w:rPr>
            </w:pPr>
            <w:r w:rsidRPr="00FF4E15">
              <w:rPr>
                <w:rFonts w:ascii="Century Gothic" w:eastAsia="Times New Roman" w:hAnsi="Century Gothic" w:cstheme="minorHAnsi"/>
                <w:lang w:eastAsia="en-GB"/>
              </w:rPr>
              <w:t xml:space="preserve">16-18 NEET and SEN provision in Lowestoft (offsite) to support a stepping stone back into study or </w:t>
            </w:r>
            <w:r w:rsidRPr="00FF4E15">
              <w:rPr>
                <w:rFonts w:ascii="Century Gothic" w:eastAsia="Times New Roman" w:hAnsi="Century Gothic" w:cstheme="minorHAnsi"/>
                <w:lang w:eastAsia="en-GB"/>
              </w:rPr>
              <w:lastRenderedPageBreak/>
              <w:t>positive steps to employment readiness.</w:t>
            </w:r>
          </w:p>
        </w:tc>
        <w:tc>
          <w:tcPr>
            <w:tcW w:w="3607" w:type="dxa"/>
          </w:tcPr>
          <w:p w14:paraId="5255178F" w14:textId="77777777" w:rsidR="00B70FB1" w:rsidRPr="00B70FB1" w:rsidRDefault="00B70FB1" w:rsidP="00B70FB1">
            <w:pPr>
              <w:pStyle w:val="ListParagraph"/>
              <w:widowControl w:val="0"/>
              <w:numPr>
                <w:ilvl w:val="0"/>
                <w:numId w:val="22"/>
              </w:numPr>
              <w:tabs>
                <w:tab w:val="left" w:pos="1553"/>
                <w:tab w:val="left" w:pos="1554"/>
              </w:tabs>
              <w:autoSpaceDE w:val="0"/>
              <w:autoSpaceDN w:val="0"/>
              <w:spacing w:line="293" w:lineRule="exact"/>
              <w:rPr>
                <w:rFonts w:ascii="Century Gothic" w:hAnsi="Century Gothic"/>
                <w:sz w:val="24"/>
              </w:rPr>
            </w:pPr>
            <w:r w:rsidRPr="006B7891">
              <w:rPr>
                <w:rFonts w:ascii="Century Gothic" w:hAnsi="Century Gothic"/>
                <w:sz w:val="24"/>
              </w:rPr>
              <w:lastRenderedPageBreak/>
              <w:t>offers an entry point for disadvantaged groups;</w:t>
            </w:r>
            <w:r w:rsidRPr="006B7891">
              <w:rPr>
                <w:rFonts w:ascii="Century Gothic" w:hAnsi="Century Gothic"/>
                <w:spacing w:val="-7"/>
                <w:sz w:val="24"/>
              </w:rPr>
              <w:t xml:space="preserve"> </w:t>
            </w:r>
            <w:r w:rsidRPr="006B7891">
              <w:rPr>
                <w:rFonts w:ascii="Century Gothic" w:hAnsi="Century Gothic"/>
                <w:sz w:val="24"/>
              </w:rPr>
              <w:t>or</w:t>
            </w:r>
            <w:r>
              <w:rPr>
                <w:rFonts w:ascii="Century Gothic" w:hAnsi="Century Gothic"/>
                <w:sz w:val="24"/>
              </w:rPr>
              <w:t xml:space="preserve"> </w:t>
            </w:r>
            <w:r w:rsidRPr="00B70FB1">
              <w:rPr>
                <w:rFonts w:ascii="Century Gothic" w:hAnsi="Century Gothic"/>
                <w:sz w:val="24"/>
              </w:rPr>
              <w:t>gives consideration of the impact on individuals with shared</w:t>
            </w:r>
            <w:r w:rsidRPr="00B70FB1">
              <w:rPr>
                <w:rFonts w:ascii="Century Gothic" w:hAnsi="Century Gothic"/>
                <w:spacing w:val="-32"/>
                <w:sz w:val="24"/>
              </w:rPr>
              <w:t xml:space="preserve"> </w:t>
            </w:r>
            <w:r w:rsidRPr="00B70FB1">
              <w:rPr>
                <w:rFonts w:ascii="Century Gothic" w:hAnsi="Century Gothic"/>
                <w:sz w:val="24"/>
              </w:rPr>
              <w:t xml:space="preserve">protected </w:t>
            </w:r>
            <w:r w:rsidRPr="00B70FB1">
              <w:rPr>
                <w:rFonts w:ascii="Century Gothic" w:hAnsi="Century Gothic"/>
                <w:sz w:val="24"/>
              </w:rPr>
              <w:lastRenderedPageBreak/>
              <w:t>characteristics, where there might otherwise be</w:t>
            </w:r>
            <w:r w:rsidRPr="00B70FB1">
              <w:rPr>
                <w:rFonts w:ascii="Century Gothic" w:hAnsi="Century Gothic"/>
                <w:spacing w:val="-5"/>
                <w:sz w:val="24"/>
              </w:rPr>
              <w:t xml:space="preserve"> </w:t>
            </w:r>
            <w:r w:rsidRPr="00B70FB1">
              <w:rPr>
                <w:rFonts w:ascii="Century Gothic" w:hAnsi="Century Gothic"/>
                <w:sz w:val="24"/>
              </w:rPr>
              <w:t>gaps</w:t>
            </w:r>
          </w:p>
          <w:p w14:paraId="62CF8C86" w14:textId="77777777" w:rsidR="00FF4E15" w:rsidRPr="006B7891" w:rsidRDefault="00FF4E15" w:rsidP="00B70FB1">
            <w:pPr>
              <w:pStyle w:val="ListParagraph"/>
              <w:widowControl w:val="0"/>
              <w:tabs>
                <w:tab w:val="left" w:pos="1553"/>
                <w:tab w:val="left" w:pos="1554"/>
              </w:tabs>
              <w:autoSpaceDE w:val="0"/>
              <w:autoSpaceDN w:val="0"/>
              <w:spacing w:line="293" w:lineRule="exact"/>
              <w:rPr>
                <w:rFonts w:ascii="Century Gothic" w:hAnsi="Century Gothic"/>
                <w:sz w:val="24"/>
              </w:rPr>
            </w:pPr>
          </w:p>
        </w:tc>
        <w:tc>
          <w:tcPr>
            <w:tcW w:w="1867" w:type="dxa"/>
          </w:tcPr>
          <w:p w14:paraId="4F4EDED3" w14:textId="2C96F532" w:rsidR="00FF4E15" w:rsidRDefault="00B70FB1" w:rsidP="00FF4E15">
            <w:pPr>
              <w:rPr>
                <w:rFonts w:ascii="Century Gothic" w:hAnsi="Century Gothic"/>
              </w:rPr>
            </w:pPr>
            <w:r w:rsidRPr="006B7891">
              <w:rPr>
                <w:rFonts w:ascii="Century Gothic" w:hAnsi="Century Gothic"/>
              </w:rPr>
              <w:lastRenderedPageBreak/>
              <w:t xml:space="preserve">ECC catchment area. This would be a fulltime study programme </w:t>
            </w:r>
            <w:r w:rsidRPr="006B7891">
              <w:rPr>
                <w:rFonts w:ascii="Century Gothic" w:hAnsi="Century Gothic"/>
              </w:rPr>
              <w:lastRenderedPageBreak/>
              <w:t>model of all required elements.</w:t>
            </w:r>
          </w:p>
        </w:tc>
        <w:tc>
          <w:tcPr>
            <w:tcW w:w="1458" w:type="dxa"/>
          </w:tcPr>
          <w:p w14:paraId="1FC71EF1" w14:textId="61479F62" w:rsidR="00FF4E15" w:rsidRDefault="00FF4E15" w:rsidP="00FF4E15">
            <w:pPr>
              <w:rPr>
                <w:rFonts w:ascii="Century Gothic" w:hAnsi="Century Gothic"/>
              </w:rPr>
            </w:pPr>
            <w:r>
              <w:rPr>
                <w:rFonts w:ascii="Century Gothic" w:hAnsi="Century Gothic"/>
              </w:rPr>
              <w:lastRenderedPageBreak/>
              <w:t>18</w:t>
            </w:r>
          </w:p>
        </w:tc>
      </w:tr>
      <w:tr w:rsidR="00B70FB1" w14:paraId="6DC6E8BA" w14:textId="77777777" w:rsidTr="00B70FB1">
        <w:tc>
          <w:tcPr>
            <w:tcW w:w="2908" w:type="dxa"/>
          </w:tcPr>
          <w:p w14:paraId="5DE311E6" w14:textId="77777777" w:rsidR="00B70FB1" w:rsidRPr="00FF4E15" w:rsidRDefault="00B70FB1" w:rsidP="00B70FB1">
            <w:pPr>
              <w:pStyle w:val="ListParagraph"/>
              <w:numPr>
                <w:ilvl w:val="0"/>
                <w:numId w:val="22"/>
              </w:numPr>
              <w:spacing w:before="120" w:after="120"/>
              <w:rPr>
                <w:rFonts w:ascii="Century Gothic" w:eastAsia="Times New Roman" w:hAnsi="Century Gothic" w:cstheme="minorHAnsi"/>
                <w:lang w:eastAsia="en-GB"/>
              </w:rPr>
            </w:pPr>
            <w:r w:rsidRPr="00FF4E15">
              <w:rPr>
                <w:rFonts w:ascii="Century Gothic" w:eastAsia="Times New Roman" w:hAnsi="Century Gothic" w:cstheme="minorHAnsi"/>
                <w:lang w:eastAsia="en-GB"/>
              </w:rPr>
              <w:t xml:space="preserve">Adult offer for Norfolk. (19 plus, focused 19-24) Short courses to aid employability stepping stones as well as engaging with </w:t>
            </w:r>
            <w:proofErr w:type="gramStart"/>
            <w:r w:rsidRPr="00FF4E15">
              <w:rPr>
                <w:rFonts w:ascii="Century Gothic" w:eastAsia="Times New Roman" w:hAnsi="Century Gothic" w:cstheme="minorHAnsi"/>
                <w:lang w:eastAsia="en-GB"/>
              </w:rPr>
              <w:t>parents  (</w:t>
            </w:r>
            <w:proofErr w:type="gramEnd"/>
            <w:r w:rsidRPr="00FF4E15">
              <w:rPr>
                <w:rFonts w:ascii="Century Gothic" w:eastAsia="Times New Roman" w:hAnsi="Century Gothic" w:cstheme="minorHAnsi"/>
                <w:lang w:eastAsia="en-GB"/>
              </w:rPr>
              <w:t xml:space="preserve">19 +) on managing budgets/ social pressures/personal development (can be more than one provider) </w:t>
            </w:r>
          </w:p>
          <w:p w14:paraId="0C91EA12" w14:textId="77777777" w:rsidR="00B70FB1" w:rsidRPr="00FF4E15" w:rsidRDefault="00B70FB1" w:rsidP="00B70FB1">
            <w:pPr>
              <w:spacing w:before="120" w:after="120"/>
              <w:ind w:left="360"/>
              <w:rPr>
                <w:rFonts w:ascii="Century Gothic" w:eastAsia="Times New Roman" w:hAnsi="Century Gothic" w:cstheme="minorHAnsi"/>
                <w:lang w:eastAsia="en-GB"/>
              </w:rPr>
            </w:pPr>
          </w:p>
          <w:p w14:paraId="54CD7966" w14:textId="1D88FCD6" w:rsidR="00B70FB1" w:rsidRPr="00FF4E15" w:rsidRDefault="00B70FB1" w:rsidP="00B70FB1">
            <w:pPr>
              <w:pStyle w:val="ListParagraph"/>
              <w:numPr>
                <w:ilvl w:val="0"/>
                <w:numId w:val="22"/>
              </w:numPr>
              <w:spacing w:before="120" w:after="120"/>
              <w:rPr>
                <w:rFonts w:ascii="Century Gothic" w:eastAsia="Times New Roman" w:hAnsi="Century Gothic" w:cstheme="minorHAnsi"/>
                <w:lang w:eastAsia="en-GB"/>
              </w:rPr>
            </w:pPr>
            <w:r w:rsidRPr="00FF4E15">
              <w:rPr>
                <w:rFonts w:ascii="Century Gothic" w:eastAsia="Times New Roman" w:hAnsi="Century Gothic" w:cstheme="minorHAnsi"/>
                <w:lang w:eastAsia="en-GB"/>
              </w:rPr>
              <w:t>Adult offer for Suffolk. (19+, focuse</w:t>
            </w:r>
            <w:r>
              <w:rPr>
                <w:rFonts w:ascii="Century Gothic" w:eastAsia="Times New Roman" w:hAnsi="Century Gothic" w:cstheme="minorHAnsi"/>
                <w:lang w:eastAsia="en-GB"/>
              </w:rPr>
              <w:t>d</w:t>
            </w:r>
            <w:r w:rsidRPr="00FF4E15">
              <w:rPr>
                <w:rFonts w:ascii="Century Gothic" w:eastAsia="Times New Roman" w:hAnsi="Century Gothic" w:cstheme="minorHAnsi"/>
                <w:lang w:eastAsia="en-GB"/>
              </w:rPr>
              <w:t xml:space="preserve"> 19-24 Short courses to aid employability stepping stones as well as engaging with parents (19 plus) / community on managing budgets/ social pressures/personal development. (</w:t>
            </w:r>
            <w:proofErr w:type="gramStart"/>
            <w:r w:rsidRPr="00FF4E15">
              <w:rPr>
                <w:rFonts w:ascii="Century Gothic" w:eastAsia="Times New Roman" w:hAnsi="Century Gothic" w:cstheme="minorHAnsi"/>
                <w:lang w:eastAsia="en-GB"/>
              </w:rPr>
              <w:t>can</w:t>
            </w:r>
            <w:proofErr w:type="gramEnd"/>
            <w:r w:rsidRPr="00FF4E15">
              <w:rPr>
                <w:rFonts w:ascii="Century Gothic" w:eastAsia="Times New Roman" w:hAnsi="Century Gothic" w:cstheme="minorHAnsi"/>
                <w:lang w:eastAsia="en-GB"/>
              </w:rPr>
              <w:t xml:space="preserve"> be more than one provider) </w:t>
            </w:r>
          </w:p>
          <w:p w14:paraId="53EBCF08" w14:textId="77777777" w:rsidR="00B70FB1" w:rsidRPr="00FF4E15" w:rsidRDefault="00B70FB1" w:rsidP="00B70FB1">
            <w:pPr>
              <w:pStyle w:val="ListParagraph"/>
              <w:spacing w:before="120" w:after="120"/>
              <w:rPr>
                <w:rFonts w:ascii="Century Gothic" w:eastAsia="Times New Roman" w:hAnsi="Century Gothic" w:cstheme="minorHAnsi"/>
                <w:lang w:eastAsia="en-GB"/>
              </w:rPr>
            </w:pPr>
          </w:p>
        </w:tc>
        <w:tc>
          <w:tcPr>
            <w:tcW w:w="3607" w:type="dxa"/>
          </w:tcPr>
          <w:p w14:paraId="544A1841" w14:textId="77777777" w:rsidR="00B70FB1" w:rsidRPr="00B70FB1" w:rsidRDefault="00B70FB1" w:rsidP="00B70FB1">
            <w:pPr>
              <w:pStyle w:val="ListParagraph"/>
              <w:widowControl w:val="0"/>
              <w:numPr>
                <w:ilvl w:val="0"/>
                <w:numId w:val="22"/>
              </w:numPr>
              <w:tabs>
                <w:tab w:val="left" w:pos="1553"/>
                <w:tab w:val="left" w:pos="1554"/>
              </w:tabs>
              <w:autoSpaceDE w:val="0"/>
              <w:autoSpaceDN w:val="0"/>
              <w:spacing w:line="293" w:lineRule="exact"/>
              <w:rPr>
                <w:rFonts w:ascii="Century Gothic" w:hAnsi="Century Gothic"/>
                <w:sz w:val="24"/>
              </w:rPr>
            </w:pPr>
            <w:r w:rsidRPr="006B7891">
              <w:rPr>
                <w:rFonts w:ascii="Century Gothic" w:hAnsi="Century Gothic"/>
                <w:sz w:val="24"/>
              </w:rPr>
              <w:t>offers an entry point for disadvantaged groups;</w:t>
            </w:r>
            <w:r w:rsidRPr="006B7891">
              <w:rPr>
                <w:rFonts w:ascii="Century Gothic" w:hAnsi="Century Gothic"/>
                <w:spacing w:val="-7"/>
                <w:sz w:val="24"/>
              </w:rPr>
              <w:t xml:space="preserve"> </w:t>
            </w:r>
            <w:r w:rsidRPr="006B7891">
              <w:rPr>
                <w:rFonts w:ascii="Century Gothic" w:hAnsi="Century Gothic"/>
                <w:sz w:val="24"/>
              </w:rPr>
              <w:t>or</w:t>
            </w:r>
            <w:r>
              <w:rPr>
                <w:rFonts w:ascii="Century Gothic" w:hAnsi="Century Gothic"/>
                <w:sz w:val="24"/>
              </w:rPr>
              <w:t xml:space="preserve"> </w:t>
            </w:r>
            <w:r w:rsidRPr="00B70FB1">
              <w:rPr>
                <w:rFonts w:ascii="Century Gothic" w:hAnsi="Century Gothic"/>
                <w:sz w:val="24"/>
              </w:rPr>
              <w:t>gives consideration of the impact on individuals with shared</w:t>
            </w:r>
            <w:r w:rsidRPr="00B70FB1">
              <w:rPr>
                <w:rFonts w:ascii="Century Gothic" w:hAnsi="Century Gothic"/>
                <w:spacing w:val="-32"/>
                <w:sz w:val="24"/>
              </w:rPr>
              <w:t xml:space="preserve"> </w:t>
            </w:r>
            <w:r w:rsidRPr="00B70FB1">
              <w:rPr>
                <w:rFonts w:ascii="Century Gothic" w:hAnsi="Century Gothic"/>
                <w:sz w:val="24"/>
              </w:rPr>
              <w:t>protected characteristics, where there might otherwise be</w:t>
            </w:r>
            <w:r w:rsidRPr="00B70FB1">
              <w:rPr>
                <w:rFonts w:ascii="Century Gothic" w:hAnsi="Century Gothic"/>
                <w:spacing w:val="-5"/>
                <w:sz w:val="24"/>
              </w:rPr>
              <w:t xml:space="preserve"> </w:t>
            </w:r>
            <w:r w:rsidRPr="00B70FB1">
              <w:rPr>
                <w:rFonts w:ascii="Century Gothic" w:hAnsi="Century Gothic"/>
                <w:sz w:val="24"/>
              </w:rPr>
              <w:t>gaps</w:t>
            </w:r>
          </w:p>
          <w:p w14:paraId="1872363B" w14:textId="77777777" w:rsidR="00B70FB1" w:rsidRPr="00B70FB1" w:rsidRDefault="00B70FB1" w:rsidP="00B70FB1">
            <w:pPr>
              <w:pStyle w:val="ListParagraph"/>
              <w:spacing w:before="120" w:after="120"/>
              <w:rPr>
                <w:rFonts w:ascii="Century Gothic" w:hAnsi="Century Gothic"/>
                <w:sz w:val="24"/>
              </w:rPr>
            </w:pPr>
          </w:p>
        </w:tc>
        <w:tc>
          <w:tcPr>
            <w:tcW w:w="1867" w:type="dxa"/>
          </w:tcPr>
          <w:p w14:paraId="7097447B" w14:textId="6BA87216" w:rsidR="00B70FB1" w:rsidRDefault="00B70FB1" w:rsidP="00B70FB1">
            <w:pPr>
              <w:rPr>
                <w:rFonts w:ascii="Century Gothic" w:hAnsi="Century Gothic"/>
              </w:rPr>
            </w:pPr>
            <w:r w:rsidRPr="006B7891">
              <w:rPr>
                <w:rFonts w:ascii="Century Gothic" w:hAnsi="Century Gothic"/>
              </w:rPr>
              <w:t>ECC catchment area. This would be a fulltime study programme model of all required elements.</w:t>
            </w:r>
          </w:p>
        </w:tc>
        <w:tc>
          <w:tcPr>
            <w:tcW w:w="1458" w:type="dxa"/>
          </w:tcPr>
          <w:p w14:paraId="5B258E64" w14:textId="0A4CC0AC" w:rsidR="00B70FB1" w:rsidRDefault="00B70FB1" w:rsidP="00B70FB1">
            <w:pPr>
              <w:spacing w:before="120" w:after="120"/>
              <w:rPr>
                <w:rFonts w:ascii="Century Gothic" w:eastAsia="Times New Roman" w:hAnsi="Century Gothic" w:cstheme="minorHAnsi"/>
                <w:lang w:eastAsia="en-GB"/>
              </w:rPr>
            </w:pPr>
            <w:r w:rsidRPr="00B70FB1">
              <w:rPr>
                <w:rFonts w:ascii="Century Gothic" w:eastAsia="Times New Roman" w:hAnsi="Century Gothic" w:cstheme="minorHAnsi"/>
                <w:lang w:eastAsia="en-GB"/>
              </w:rPr>
              <w:t>Funding value - £60,000 circa</w:t>
            </w:r>
          </w:p>
          <w:p w14:paraId="3D8831F1" w14:textId="2CF0D1E1" w:rsidR="00B70FB1" w:rsidRDefault="00B70FB1" w:rsidP="00B70FB1">
            <w:pPr>
              <w:spacing w:before="120" w:after="120"/>
              <w:rPr>
                <w:rFonts w:ascii="Century Gothic" w:eastAsia="Times New Roman" w:hAnsi="Century Gothic" w:cstheme="minorHAnsi"/>
                <w:lang w:eastAsia="en-GB"/>
              </w:rPr>
            </w:pPr>
          </w:p>
          <w:p w14:paraId="2DB06AB9" w14:textId="63FB07B5" w:rsidR="00B70FB1" w:rsidRDefault="00B70FB1" w:rsidP="00B70FB1">
            <w:pPr>
              <w:spacing w:before="120" w:after="120"/>
              <w:rPr>
                <w:rFonts w:ascii="Century Gothic" w:eastAsia="Times New Roman" w:hAnsi="Century Gothic" w:cstheme="minorHAnsi"/>
                <w:lang w:eastAsia="en-GB"/>
              </w:rPr>
            </w:pPr>
          </w:p>
          <w:p w14:paraId="3063960D" w14:textId="77804EC1" w:rsidR="00B70FB1" w:rsidRDefault="00B70FB1" w:rsidP="00B70FB1">
            <w:pPr>
              <w:spacing w:before="120" w:after="120"/>
              <w:rPr>
                <w:rFonts w:ascii="Century Gothic" w:eastAsia="Times New Roman" w:hAnsi="Century Gothic" w:cstheme="minorHAnsi"/>
                <w:lang w:eastAsia="en-GB"/>
              </w:rPr>
            </w:pPr>
          </w:p>
          <w:p w14:paraId="105A40BF" w14:textId="717291F6" w:rsidR="00B70FB1" w:rsidRDefault="00B70FB1" w:rsidP="00B70FB1">
            <w:pPr>
              <w:spacing w:before="120" w:after="120"/>
              <w:rPr>
                <w:rFonts w:ascii="Century Gothic" w:eastAsia="Times New Roman" w:hAnsi="Century Gothic" w:cstheme="minorHAnsi"/>
                <w:lang w:eastAsia="en-GB"/>
              </w:rPr>
            </w:pPr>
          </w:p>
          <w:p w14:paraId="53567B82" w14:textId="37CD0EDB" w:rsidR="00B70FB1" w:rsidRDefault="00B70FB1" w:rsidP="00B70FB1">
            <w:pPr>
              <w:spacing w:before="120" w:after="120"/>
              <w:rPr>
                <w:rFonts w:ascii="Century Gothic" w:eastAsia="Times New Roman" w:hAnsi="Century Gothic" w:cstheme="minorHAnsi"/>
                <w:lang w:eastAsia="en-GB"/>
              </w:rPr>
            </w:pPr>
          </w:p>
          <w:p w14:paraId="50BFBF39" w14:textId="6717DB7A" w:rsidR="00B70FB1" w:rsidRDefault="00B70FB1" w:rsidP="00B70FB1">
            <w:pPr>
              <w:spacing w:before="120" w:after="120"/>
              <w:rPr>
                <w:rFonts w:ascii="Century Gothic" w:eastAsia="Times New Roman" w:hAnsi="Century Gothic" w:cstheme="minorHAnsi"/>
                <w:lang w:eastAsia="en-GB"/>
              </w:rPr>
            </w:pPr>
          </w:p>
          <w:p w14:paraId="194BB522" w14:textId="382D9EBF" w:rsidR="00B70FB1" w:rsidRDefault="00B70FB1" w:rsidP="00B70FB1">
            <w:pPr>
              <w:spacing w:before="120" w:after="120"/>
              <w:rPr>
                <w:rFonts w:ascii="Century Gothic" w:eastAsia="Times New Roman" w:hAnsi="Century Gothic" w:cstheme="minorHAnsi"/>
                <w:lang w:eastAsia="en-GB"/>
              </w:rPr>
            </w:pPr>
          </w:p>
          <w:p w14:paraId="492FCD64" w14:textId="49E76485" w:rsidR="00B70FB1" w:rsidRDefault="00B70FB1" w:rsidP="00B70FB1">
            <w:pPr>
              <w:spacing w:before="120" w:after="120"/>
              <w:rPr>
                <w:rFonts w:ascii="Century Gothic" w:eastAsia="Times New Roman" w:hAnsi="Century Gothic" w:cstheme="minorHAnsi"/>
                <w:lang w:eastAsia="en-GB"/>
              </w:rPr>
            </w:pPr>
          </w:p>
          <w:p w14:paraId="4D08316F" w14:textId="77777777" w:rsidR="00B70FB1" w:rsidRDefault="00B70FB1" w:rsidP="00B70FB1">
            <w:pPr>
              <w:spacing w:before="120" w:after="120"/>
              <w:rPr>
                <w:rFonts w:ascii="Century Gothic" w:eastAsia="Times New Roman" w:hAnsi="Century Gothic" w:cstheme="minorHAnsi"/>
                <w:lang w:eastAsia="en-GB"/>
              </w:rPr>
            </w:pPr>
          </w:p>
          <w:p w14:paraId="6338D745" w14:textId="16A75426" w:rsidR="00B70FB1" w:rsidRDefault="00B70FB1" w:rsidP="00B70FB1">
            <w:pPr>
              <w:spacing w:before="120" w:after="120"/>
              <w:rPr>
                <w:rFonts w:ascii="Century Gothic" w:eastAsia="Times New Roman" w:hAnsi="Century Gothic" w:cstheme="minorHAnsi"/>
                <w:lang w:eastAsia="en-GB"/>
              </w:rPr>
            </w:pPr>
          </w:p>
          <w:p w14:paraId="2E92EE01" w14:textId="77777777" w:rsidR="00B70FB1" w:rsidRPr="00B70FB1" w:rsidRDefault="00B70FB1" w:rsidP="00B70FB1">
            <w:pPr>
              <w:spacing w:before="120" w:after="120"/>
              <w:rPr>
                <w:rFonts w:ascii="Century Gothic" w:eastAsia="Times New Roman" w:hAnsi="Century Gothic" w:cstheme="minorHAnsi"/>
                <w:lang w:eastAsia="en-GB"/>
              </w:rPr>
            </w:pPr>
            <w:r w:rsidRPr="00B70FB1">
              <w:rPr>
                <w:rFonts w:ascii="Century Gothic" w:eastAsia="Times New Roman" w:hAnsi="Century Gothic" w:cstheme="minorHAnsi"/>
                <w:lang w:eastAsia="en-GB"/>
              </w:rPr>
              <w:t>Funding value - £60,000 circa</w:t>
            </w:r>
          </w:p>
          <w:p w14:paraId="2C5406BB" w14:textId="77777777" w:rsidR="00B70FB1" w:rsidRPr="00B70FB1" w:rsidRDefault="00B70FB1" w:rsidP="00B70FB1">
            <w:pPr>
              <w:spacing w:before="120" w:after="120"/>
              <w:rPr>
                <w:rFonts w:ascii="Century Gothic" w:eastAsia="Times New Roman" w:hAnsi="Century Gothic" w:cstheme="minorHAnsi"/>
                <w:lang w:eastAsia="en-GB"/>
              </w:rPr>
            </w:pPr>
          </w:p>
          <w:p w14:paraId="762B14B9" w14:textId="77777777" w:rsidR="00B70FB1" w:rsidRDefault="00B70FB1" w:rsidP="00B70FB1">
            <w:pPr>
              <w:rPr>
                <w:rFonts w:ascii="Century Gothic" w:hAnsi="Century Gothic"/>
              </w:rPr>
            </w:pPr>
          </w:p>
        </w:tc>
      </w:tr>
    </w:tbl>
    <w:p w14:paraId="1881F138" w14:textId="77777777" w:rsidR="00B70FB1" w:rsidRDefault="00B70FB1" w:rsidP="00D45F06">
      <w:pPr>
        <w:spacing w:after="0" w:line="240" w:lineRule="auto"/>
        <w:rPr>
          <w:rFonts w:ascii="Century Gothic" w:hAnsi="Century Gothic"/>
          <w:b/>
          <w:sz w:val="24"/>
          <w:szCs w:val="24"/>
        </w:rPr>
      </w:pPr>
    </w:p>
    <w:p w14:paraId="0F7ABABB" w14:textId="77777777" w:rsidR="00B70FB1" w:rsidRDefault="00B70FB1" w:rsidP="00D45F06">
      <w:pPr>
        <w:spacing w:after="0" w:line="240" w:lineRule="auto"/>
        <w:rPr>
          <w:rFonts w:ascii="Century Gothic" w:hAnsi="Century Gothic"/>
          <w:b/>
          <w:sz w:val="24"/>
          <w:szCs w:val="24"/>
        </w:rPr>
      </w:pPr>
    </w:p>
    <w:p w14:paraId="0EC958C6" w14:textId="77777777" w:rsidR="00B70FB1" w:rsidRDefault="00B70FB1" w:rsidP="00D45F06">
      <w:pPr>
        <w:spacing w:after="0" w:line="240" w:lineRule="auto"/>
        <w:rPr>
          <w:rFonts w:ascii="Century Gothic" w:hAnsi="Century Gothic"/>
          <w:b/>
          <w:sz w:val="24"/>
          <w:szCs w:val="24"/>
        </w:rPr>
      </w:pPr>
    </w:p>
    <w:p w14:paraId="2F9D2BF4" w14:textId="77777777" w:rsidR="00B70FB1" w:rsidRDefault="00B70FB1" w:rsidP="00D45F06">
      <w:pPr>
        <w:spacing w:after="0" w:line="240" w:lineRule="auto"/>
        <w:rPr>
          <w:rFonts w:ascii="Century Gothic" w:hAnsi="Century Gothic"/>
          <w:b/>
          <w:sz w:val="24"/>
          <w:szCs w:val="24"/>
        </w:rPr>
      </w:pPr>
    </w:p>
    <w:p w14:paraId="4DE9B3EA" w14:textId="77777777" w:rsidR="00B70FB1" w:rsidRDefault="00B70FB1" w:rsidP="00D45F06">
      <w:pPr>
        <w:spacing w:after="0" w:line="240" w:lineRule="auto"/>
        <w:rPr>
          <w:rFonts w:ascii="Century Gothic" w:hAnsi="Century Gothic"/>
          <w:b/>
          <w:sz w:val="24"/>
          <w:szCs w:val="24"/>
        </w:rPr>
      </w:pPr>
    </w:p>
    <w:p w14:paraId="5901BA01" w14:textId="77777777" w:rsidR="00B70FB1" w:rsidRDefault="00B70FB1" w:rsidP="00D45F06">
      <w:pPr>
        <w:spacing w:after="0" w:line="240" w:lineRule="auto"/>
        <w:rPr>
          <w:rFonts w:ascii="Century Gothic" w:hAnsi="Century Gothic"/>
          <w:b/>
          <w:sz w:val="24"/>
          <w:szCs w:val="24"/>
        </w:rPr>
      </w:pPr>
    </w:p>
    <w:p w14:paraId="4F62F98E" w14:textId="77777777" w:rsidR="00B70FB1" w:rsidRDefault="00B70FB1" w:rsidP="00D45F06">
      <w:pPr>
        <w:spacing w:after="0" w:line="240" w:lineRule="auto"/>
        <w:rPr>
          <w:rFonts w:ascii="Century Gothic" w:hAnsi="Century Gothic"/>
          <w:b/>
          <w:sz w:val="24"/>
          <w:szCs w:val="24"/>
        </w:rPr>
      </w:pPr>
    </w:p>
    <w:p w14:paraId="386EBD2E" w14:textId="77777777" w:rsidR="00B70FB1" w:rsidRDefault="00B70FB1" w:rsidP="00D45F06">
      <w:pPr>
        <w:spacing w:after="0" w:line="240" w:lineRule="auto"/>
        <w:rPr>
          <w:rFonts w:ascii="Century Gothic" w:hAnsi="Century Gothic"/>
          <w:b/>
          <w:sz w:val="24"/>
          <w:szCs w:val="24"/>
        </w:rPr>
      </w:pPr>
    </w:p>
    <w:p w14:paraId="71317295" w14:textId="77777777" w:rsidR="00B70FB1" w:rsidRDefault="00B70FB1" w:rsidP="00D45F06">
      <w:pPr>
        <w:spacing w:after="0" w:line="240" w:lineRule="auto"/>
        <w:rPr>
          <w:rFonts w:ascii="Century Gothic" w:hAnsi="Century Gothic"/>
          <w:b/>
          <w:sz w:val="24"/>
          <w:szCs w:val="24"/>
        </w:rPr>
      </w:pPr>
    </w:p>
    <w:p w14:paraId="256648FD" w14:textId="77777777" w:rsidR="00B70FB1" w:rsidRDefault="00B70FB1" w:rsidP="00D45F06">
      <w:pPr>
        <w:spacing w:after="0" w:line="240" w:lineRule="auto"/>
        <w:rPr>
          <w:rFonts w:ascii="Century Gothic" w:hAnsi="Century Gothic"/>
          <w:b/>
          <w:sz w:val="24"/>
          <w:szCs w:val="24"/>
        </w:rPr>
      </w:pPr>
    </w:p>
    <w:p w14:paraId="1B25F767" w14:textId="77777777" w:rsidR="00B70FB1" w:rsidRDefault="00B70FB1" w:rsidP="00D45F06">
      <w:pPr>
        <w:spacing w:after="0" w:line="240" w:lineRule="auto"/>
        <w:rPr>
          <w:rFonts w:ascii="Century Gothic" w:hAnsi="Century Gothic"/>
          <w:b/>
          <w:sz w:val="24"/>
          <w:szCs w:val="24"/>
        </w:rPr>
      </w:pPr>
    </w:p>
    <w:p w14:paraId="44CDF2A5" w14:textId="77777777" w:rsidR="00B70FB1" w:rsidRDefault="00B70FB1" w:rsidP="00D45F06">
      <w:pPr>
        <w:spacing w:after="0" w:line="240" w:lineRule="auto"/>
        <w:rPr>
          <w:rFonts w:ascii="Century Gothic" w:hAnsi="Century Gothic"/>
          <w:b/>
          <w:sz w:val="24"/>
          <w:szCs w:val="24"/>
        </w:rPr>
      </w:pPr>
    </w:p>
    <w:p w14:paraId="2B3C909D" w14:textId="77777777" w:rsidR="00B70FB1" w:rsidRDefault="00B70FB1" w:rsidP="00D45F06">
      <w:pPr>
        <w:spacing w:after="0" w:line="240" w:lineRule="auto"/>
        <w:rPr>
          <w:rFonts w:ascii="Century Gothic" w:hAnsi="Century Gothic"/>
          <w:b/>
          <w:sz w:val="24"/>
          <w:szCs w:val="24"/>
        </w:rPr>
      </w:pPr>
    </w:p>
    <w:p w14:paraId="74F884C3" w14:textId="77777777" w:rsidR="00B70FB1" w:rsidRDefault="00B70FB1" w:rsidP="00D45F06">
      <w:pPr>
        <w:spacing w:after="0" w:line="240" w:lineRule="auto"/>
        <w:rPr>
          <w:rFonts w:ascii="Century Gothic" w:hAnsi="Century Gothic"/>
          <w:b/>
          <w:sz w:val="24"/>
          <w:szCs w:val="24"/>
        </w:rPr>
      </w:pPr>
    </w:p>
    <w:p w14:paraId="45812D0F" w14:textId="3E87BE3D" w:rsidR="00611026" w:rsidRPr="00D45F06" w:rsidRDefault="00D45F06" w:rsidP="00D45F06">
      <w:pPr>
        <w:spacing w:after="0" w:line="240" w:lineRule="auto"/>
        <w:rPr>
          <w:rFonts w:ascii="Century Gothic" w:hAnsi="Century Gothic"/>
          <w:b/>
          <w:sz w:val="24"/>
          <w:szCs w:val="24"/>
        </w:rPr>
      </w:pPr>
      <w:r w:rsidRPr="00FC540B">
        <w:rPr>
          <w:rFonts w:ascii="Century Gothic" w:hAnsi="Century Gothic"/>
          <w:noProof/>
          <w:lang w:eastAsia="en-GB"/>
        </w:rPr>
        <w:drawing>
          <wp:anchor distT="0" distB="0" distL="114300" distR="114300" simplePos="0" relativeHeight="251658241" behindDoc="0" locked="0" layoutInCell="1" allowOverlap="1" wp14:anchorId="7BB106C2" wp14:editId="515D3B95">
            <wp:simplePos x="0" y="0"/>
            <wp:positionH relativeFrom="margin">
              <wp:align>right</wp:align>
            </wp:positionH>
            <wp:positionV relativeFrom="paragraph">
              <wp:posOffset>-140446</wp:posOffset>
            </wp:positionV>
            <wp:extent cx="842838" cy="580483"/>
            <wp:effectExtent l="0" t="0" r="0" b="0"/>
            <wp:wrapNone/>
            <wp:docPr id="2" name="Picture 2" descr="\\fs2\StaffDesktops\t.bright\Desktop\ECC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StaffDesktops\t.bright\Desktop\ECC logo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838" cy="5804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1A2">
        <w:rPr>
          <w:rFonts w:ascii="Century Gothic" w:hAnsi="Century Gothic"/>
          <w:b/>
          <w:sz w:val="24"/>
          <w:szCs w:val="24"/>
        </w:rPr>
        <w:t>A</w:t>
      </w:r>
      <w:r w:rsidR="00855E82" w:rsidRPr="00D45F06">
        <w:rPr>
          <w:rFonts w:ascii="Century Gothic" w:hAnsi="Century Gothic"/>
          <w:b/>
          <w:sz w:val="24"/>
          <w:szCs w:val="24"/>
        </w:rPr>
        <w:t xml:space="preserve">ppendix 1 – </w:t>
      </w:r>
      <w:r w:rsidR="009D67ED">
        <w:rPr>
          <w:rFonts w:ascii="Century Gothic" w:hAnsi="Century Gothic"/>
          <w:b/>
          <w:sz w:val="24"/>
          <w:szCs w:val="24"/>
        </w:rPr>
        <w:t xml:space="preserve">Invitation </w:t>
      </w:r>
      <w:proofErr w:type="gramStart"/>
      <w:r w:rsidR="009D67ED">
        <w:rPr>
          <w:rFonts w:ascii="Century Gothic" w:hAnsi="Century Gothic"/>
          <w:b/>
          <w:sz w:val="24"/>
          <w:szCs w:val="24"/>
        </w:rPr>
        <w:t>To</w:t>
      </w:r>
      <w:proofErr w:type="gramEnd"/>
      <w:r w:rsidR="009D67ED">
        <w:rPr>
          <w:rFonts w:ascii="Century Gothic" w:hAnsi="Century Gothic"/>
          <w:b/>
          <w:sz w:val="24"/>
          <w:szCs w:val="24"/>
        </w:rPr>
        <w:t xml:space="preserve"> Tender</w:t>
      </w:r>
      <w:r w:rsidR="008B4D15">
        <w:rPr>
          <w:rFonts w:ascii="Century Gothic" w:hAnsi="Century Gothic"/>
          <w:b/>
          <w:sz w:val="24"/>
          <w:szCs w:val="24"/>
        </w:rPr>
        <w:t xml:space="preserve"> (PQQ)</w:t>
      </w:r>
    </w:p>
    <w:p w14:paraId="07AA76CA" w14:textId="77777777" w:rsidR="00855E82" w:rsidRDefault="00855E82" w:rsidP="00FC540B">
      <w:pPr>
        <w:spacing w:after="0" w:line="240" w:lineRule="auto"/>
        <w:rPr>
          <w:rFonts w:ascii="Century Gothic" w:hAnsi="Century Gothic"/>
        </w:rPr>
      </w:pPr>
    </w:p>
    <w:tbl>
      <w:tblPr>
        <w:tblStyle w:val="TableGrid"/>
        <w:tblW w:w="0" w:type="auto"/>
        <w:tblLook w:val="04A0" w:firstRow="1" w:lastRow="0" w:firstColumn="1" w:lastColumn="0" w:noHBand="0" w:noVBand="1"/>
      </w:tblPr>
      <w:tblGrid>
        <w:gridCol w:w="9016"/>
      </w:tblGrid>
      <w:tr w:rsidR="00855E82" w14:paraId="40BFBC6A" w14:textId="77777777" w:rsidTr="00855E82">
        <w:tc>
          <w:tcPr>
            <w:tcW w:w="9016" w:type="dxa"/>
          </w:tcPr>
          <w:p w14:paraId="319BCACC" w14:textId="77777777" w:rsidR="00855E82" w:rsidRPr="00D45F06" w:rsidRDefault="00855E82" w:rsidP="00D45F06">
            <w:pPr>
              <w:spacing w:before="120" w:after="120"/>
              <w:rPr>
                <w:rFonts w:ascii="Century Gothic" w:hAnsi="Century Gothic"/>
                <w:b/>
              </w:rPr>
            </w:pPr>
            <w:r w:rsidRPr="00D45F06">
              <w:rPr>
                <w:rFonts w:ascii="Century Gothic" w:hAnsi="Century Gothic"/>
                <w:b/>
              </w:rPr>
              <w:t>Q1 - Organisation Name</w:t>
            </w:r>
          </w:p>
        </w:tc>
      </w:tr>
      <w:tr w:rsidR="00855E82" w14:paraId="6269DD40" w14:textId="77777777" w:rsidTr="00855E82">
        <w:tc>
          <w:tcPr>
            <w:tcW w:w="9016" w:type="dxa"/>
          </w:tcPr>
          <w:p w14:paraId="16AC1337" w14:textId="3F617189" w:rsidR="00855E82" w:rsidRPr="00EE6DB1" w:rsidRDefault="00855E82" w:rsidP="00D45F06">
            <w:pPr>
              <w:spacing w:before="120" w:after="120"/>
              <w:rPr>
                <w:rFonts w:cstheme="minorHAnsi"/>
              </w:rPr>
            </w:pPr>
          </w:p>
        </w:tc>
      </w:tr>
    </w:tbl>
    <w:p w14:paraId="1259C9E7" w14:textId="77777777" w:rsidR="00D45F06" w:rsidRDefault="00D45F06"/>
    <w:tbl>
      <w:tblPr>
        <w:tblStyle w:val="TableGrid"/>
        <w:tblW w:w="0" w:type="auto"/>
        <w:tblLook w:val="04A0" w:firstRow="1" w:lastRow="0" w:firstColumn="1" w:lastColumn="0" w:noHBand="0" w:noVBand="1"/>
      </w:tblPr>
      <w:tblGrid>
        <w:gridCol w:w="9016"/>
      </w:tblGrid>
      <w:tr w:rsidR="00855E82" w14:paraId="2ADCEADD" w14:textId="77777777" w:rsidTr="00855E82">
        <w:tc>
          <w:tcPr>
            <w:tcW w:w="9016" w:type="dxa"/>
          </w:tcPr>
          <w:p w14:paraId="19A35ABE" w14:textId="77777777" w:rsidR="00855E82" w:rsidRPr="00D45F06" w:rsidRDefault="00855E82" w:rsidP="00D45F06">
            <w:pPr>
              <w:spacing w:before="120" w:after="120"/>
              <w:rPr>
                <w:rFonts w:ascii="Century Gothic" w:hAnsi="Century Gothic"/>
                <w:b/>
              </w:rPr>
            </w:pPr>
            <w:r w:rsidRPr="00D45F06">
              <w:rPr>
                <w:rFonts w:ascii="Century Gothic" w:hAnsi="Century Gothic"/>
                <w:b/>
              </w:rPr>
              <w:t>Q2 - Registered Address</w:t>
            </w:r>
          </w:p>
        </w:tc>
      </w:tr>
      <w:tr w:rsidR="00855E82" w14:paraId="2265FF56" w14:textId="77777777" w:rsidTr="00855E82">
        <w:tc>
          <w:tcPr>
            <w:tcW w:w="9016" w:type="dxa"/>
          </w:tcPr>
          <w:p w14:paraId="782AF0D4" w14:textId="77777777" w:rsidR="00855E82" w:rsidRDefault="00855E82" w:rsidP="00794E1B">
            <w:pPr>
              <w:spacing w:before="120" w:after="120"/>
              <w:rPr>
                <w:rFonts w:ascii="Century Gothic" w:hAnsi="Century Gothic"/>
              </w:rPr>
            </w:pPr>
          </w:p>
        </w:tc>
      </w:tr>
    </w:tbl>
    <w:p w14:paraId="3E0145B5" w14:textId="77777777" w:rsidR="00D45F06" w:rsidRDefault="00D45F06"/>
    <w:tbl>
      <w:tblPr>
        <w:tblStyle w:val="TableGrid"/>
        <w:tblW w:w="0" w:type="auto"/>
        <w:tblLook w:val="04A0" w:firstRow="1" w:lastRow="0" w:firstColumn="1" w:lastColumn="0" w:noHBand="0" w:noVBand="1"/>
      </w:tblPr>
      <w:tblGrid>
        <w:gridCol w:w="9016"/>
      </w:tblGrid>
      <w:tr w:rsidR="00855E82" w14:paraId="00B1E4DA" w14:textId="77777777" w:rsidTr="00855E82">
        <w:tc>
          <w:tcPr>
            <w:tcW w:w="9016" w:type="dxa"/>
          </w:tcPr>
          <w:p w14:paraId="51DC04D3" w14:textId="77777777" w:rsidR="00855E82" w:rsidRPr="00D45F06" w:rsidRDefault="00855E82" w:rsidP="00D45F06">
            <w:pPr>
              <w:spacing w:before="120" w:after="120"/>
              <w:rPr>
                <w:rFonts w:ascii="Century Gothic" w:hAnsi="Century Gothic"/>
                <w:b/>
              </w:rPr>
            </w:pPr>
            <w:r w:rsidRPr="00D45F06">
              <w:rPr>
                <w:rFonts w:ascii="Century Gothic" w:hAnsi="Century Gothic"/>
                <w:b/>
              </w:rPr>
              <w:t xml:space="preserve">Q3 – Companies House and/or Charity Commission Number </w:t>
            </w:r>
            <w:r w:rsidR="006941EE">
              <w:rPr>
                <w:rFonts w:ascii="Century Gothic" w:hAnsi="Century Gothic"/>
                <w:b/>
              </w:rPr>
              <w:t>and UK Provider Registration Number (UKPRN)</w:t>
            </w:r>
          </w:p>
        </w:tc>
      </w:tr>
      <w:tr w:rsidR="00855E82" w14:paraId="351410F5" w14:textId="77777777" w:rsidTr="00855E82">
        <w:tc>
          <w:tcPr>
            <w:tcW w:w="9016" w:type="dxa"/>
          </w:tcPr>
          <w:p w14:paraId="43A53CA3" w14:textId="184D5D01" w:rsidR="00855E82" w:rsidRDefault="00855E82" w:rsidP="00E0577E">
            <w:pPr>
              <w:spacing w:before="120" w:after="120"/>
              <w:rPr>
                <w:rFonts w:ascii="Century Gothic" w:hAnsi="Century Gothic"/>
              </w:rPr>
            </w:pPr>
          </w:p>
        </w:tc>
      </w:tr>
    </w:tbl>
    <w:p w14:paraId="5DDB60D7" w14:textId="77777777" w:rsidR="00D45F06" w:rsidRDefault="00D45F06"/>
    <w:tbl>
      <w:tblPr>
        <w:tblStyle w:val="TableGrid"/>
        <w:tblW w:w="0" w:type="auto"/>
        <w:tblLook w:val="04A0" w:firstRow="1" w:lastRow="0" w:firstColumn="1" w:lastColumn="0" w:noHBand="0" w:noVBand="1"/>
      </w:tblPr>
      <w:tblGrid>
        <w:gridCol w:w="9016"/>
      </w:tblGrid>
      <w:tr w:rsidR="00855E82" w14:paraId="76BB0E77" w14:textId="77777777" w:rsidTr="00855E82">
        <w:tc>
          <w:tcPr>
            <w:tcW w:w="9016" w:type="dxa"/>
          </w:tcPr>
          <w:p w14:paraId="441F1024" w14:textId="77777777" w:rsidR="00855E82" w:rsidRPr="00D45F06" w:rsidRDefault="00855E82" w:rsidP="00D45F06">
            <w:pPr>
              <w:spacing w:before="120" w:after="120"/>
              <w:rPr>
                <w:rFonts w:ascii="Century Gothic" w:hAnsi="Century Gothic"/>
                <w:b/>
              </w:rPr>
            </w:pPr>
            <w:r w:rsidRPr="00D45F06">
              <w:rPr>
                <w:rFonts w:ascii="Century Gothic" w:hAnsi="Century Gothic"/>
                <w:b/>
              </w:rPr>
              <w:t>Q4 – Details of Affiliations / Registrations / Approvals</w:t>
            </w:r>
          </w:p>
        </w:tc>
      </w:tr>
      <w:tr w:rsidR="00855E82" w14:paraId="4B65470B" w14:textId="77777777" w:rsidTr="00855E82">
        <w:tc>
          <w:tcPr>
            <w:tcW w:w="9016" w:type="dxa"/>
          </w:tcPr>
          <w:p w14:paraId="0126DFD3" w14:textId="77777777" w:rsidR="00855E82" w:rsidRDefault="00855E82" w:rsidP="00794E1B">
            <w:pPr>
              <w:pStyle w:val="ListParagraph"/>
              <w:numPr>
                <w:ilvl w:val="0"/>
                <w:numId w:val="24"/>
              </w:numPr>
              <w:spacing w:before="120" w:after="120"/>
              <w:rPr>
                <w:rFonts w:ascii="Century Gothic" w:hAnsi="Century Gothic"/>
              </w:rPr>
            </w:pPr>
          </w:p>
        </w:tc>
      </w:tr>
    </w:tbl>
    <w:p w14:paraId="07633CFA" w14:textId="77777777" w:rsidR="00D45F06" w:rsidRDefault="00D45F06"/>
    <w:tbl>
      <w:tblPr>
        <w:tblStyle w:val="TableGrid"/>
        <w:tblW w:w="0" w:type="auto"/>
        <w:tblLook w:val="04A0" w:firstRow="1" w:lastRow="0" w:firstColumn="1" w:lastColumn="0" w:noHBand="0" w:noVBand="1"/>
      </w:tblPr>
      <w:tblGrid>
        <w:gridCol w:w="9016"/>
      </w:tblGrid>
      <w:tr w:rsidR="00855E82" w14:paraId="45899356" w14:textId="77777777" w:rsidTr="00855E82">
        <w:tc>
          <w:tcPr>
            <w:tcW w:w="9016" w:type="dxa"/>
          </w:tcPr>
          <w:p w14:paraId="052708CF" w14:textId="77777777" w:rsidR="00855E82" w:rsidRPr="00D45F06" w:rsidRDefault="00855E82" w:rsidP="00D45F06">
            <w:pPr>
              <w:spacing w:before="120" w:after="120"/>
              <w:rPr>
                <w:rFonts w:ascii="Century Gothic" w:hAnsi="Century Gothic"/>
                <w:b/>
              </w:rPr>
            </w:pPr>
            <w:r w:rsidRPr="00D45F06">
              <w:rPr>
                <w:rFonts w:ascii="Century Gothic" w:hAnsi="Century Gothic"/>
                <w:b/>
              </w:rPr>
              <w:t>Q5 – Summary of Principal Activities (200 words max)</w:t>
            </w:r>
          </w:p>
        </w:tc>
      </w:tr>
      <w:tr w:rsidR="00855E82" w14:paraId="1FA0CD2C" w14:textId="77777777" w:rsidTr="00855E82">
        <w:tc>
          <w:tcPr>
            <w:tcW w:w="9016" w:type="dxa"/>
          </w:tcPr>
          <w:p w14:paraId="49E6358A" w14:textId="77777777" w:rsidR="00855E82" w:rsidRDefault="00855E82" w:rsidP="00794E1B">
            <w:pPr>
              <w:spacing w:before="120" w:after="120"/>
              <w:rPr>
                <w:rFonts w:ascii="Century Gothic" w:hAnsi="Century Gothic"/>
              </w:rPr>
            </w:pPr>
          </w:p>
        </w:tc>
      </w:tr>
    </w:tbl>
    <w:p w14:paraId="76EBC2E2" w14:textId="77777777" w:rsidR="00D45F06" w:rsidRDefault="00D45F06"/>
    <w:tbl>
      <w:tblPr>
        <w:tblStyle w:val="TableGrid"/>
        <w:tblW w:w="0" w:type="auto"/>
        <w:tblLook w:val="04A0" w:firstRow="1" w:lastRow="0" w:firstColumn="1" w:lastColumn="0" w:noHBand="0" w:noVBand="1"/>
      </w:tblPr>
      <w:tblGrid>
        <w:gridCol w:w="9016"/>
      </w:tblGrid>
      <w:tr w:rsidR="00855E82" w14:paraId="1B403BE5" w14:textId="77777777" w:rsidTr="00855E82">
        <w:tc>
          <w:tcPr>
            <w:tcW w:w="9016" w:type="dxa"/>
          </w:tcPr>
          <w:p w14:paraId="4DA05741" w14:textId="77777777" w:rsidR="00855E82" w:rsidRPr="00D45F06" w:rsidRDefault="00855E82" w:rsidP="00D45F06">
            <w:pPr>
              <w:spacing w:before="120" w:after="120"/>
              <w:rPr>
                <w:rFonts w:ascii="Century Gothic" w:hAnsi="Century Gothic"/>
                <w:b/>
              </w:rPr>
            </w:pPr>
            <w:r w:rsidRPr="00D45F06">
              <w:rPr>
                <w:rFonts w:ascii="Century Gothic" w:hAnsi="Century Gothic"/>
                <w:b/>
              </w:rPr>
              <w:t>Q6 – Summary of Experience in Delivering Educational Activities</w:t>
            </w:r>
            <w:r w:rsidR="00183263" w:rsidRPr="00D45F06">
              <w:rPr>
                <w:rFonts w:ascii="Century Gothic" w:hAnsi="Century Gothic"/>
                <w:b/>
              </w:rPr>
              <w:t xml:space="preserve"> (3</w:t>
            </w:r>
            <w:r w:rsidRPr="00D45F06">
              <w:rPr>
                <w:rFonts w:ascii="Century Gothic" w:hAnsi="Century Gothic"/>
                <w:b/>
              </w:rPr>
              <w:t>00 words max)</w:t>
            </w:r>
          </w:p>
        </w:tc>
      </w:tr>
      <w:tr w:rsidR="00855E82" w14:paraId="4FAFEC2D" w14:textId="77777777" w:rsidTr="00855E82">
        <w:tc>
          <w:tcPr>
            <w:tcW w:w="9016" w:type="dxa"/>
          </w:tcPr>
          <w:p w14:paraId="0A468D85" w14:textId="77777777" w:rsidR="00855E82" w:rsidRDefault="00855E82" w:rsidP="00794E1B">
            <w:pPr>
              <w:spacing w:before="120" w:after="120"/>
              <w:rPr>
                <w:rFonts w:ascii="Century Gothic" w:hAnsi="Century Gothic"/>
              </w:rPr>
            </w:pPr>
          </w:p>
        </w:tc>
      </w:tr>
    </w:tbl>
    <w:p w14:paraId="2B04516A" w14:textId="77777777" w:rsidR="00D45F06" w:rsidRDefault="00D45F06"/>
    <w:tbl>
      <w:tblPr>
        <w:tblStyle w:val="TableGrid"/>
        <w:tblW w:w="0" w:type="auto"/>
        <w:tblLook w:val="04A0" w:firstRow="1" w:lastRow="0" w:firstColumn="1" w:lastColumn="0" w:noHBand="0" w:noVBand="1"/>
      </w:tblPr>
      <w:tblGrid>
        <w:gridCol w:w="1158"/>
        <w:gridCol w:w="2804"/>
        <w:gridCol w:w="2866"/>
        <w:gridCol w:w="2217"/>
      </w:tblGrid>
      <w:tr w:rsidR="00D45F06" w14:paraId="1E04C89C" w14:textId="77777777" w:rsidTr="00DF719D">
        <w:tc>
          <w:tcPr>
            <w:tcW w:w="9045" w:type="dxa"/>
            <w:gridSpan w:val="4"/>
          </w:tcPr>
          <w:p w14:paraId="5FB42BE5" w14:textId="77777777" w:rsidR="00D45F06" w:rsidRPr="00D45F06" w:rsidRDefault="00D45F06" w:rsidP="00D45F06">
            <w:pPr>
              <w:spacing w:before="120" w:after="120"/>
              <w:rPr>
                <w:rFonts w:ascii="Century Gothic" w:hAnsi="Century Gothic"/>
                <w:b/>
              </w:rPr>
            </w:pPr>
            <w:r w:rsidRPr="00D45F06">
              <w:rPr>
                <w:rFonts w:ascii="Century Gothic" w:hAnsi="Century Gothic"/>
                <w:b/>
              </w:rPr>
              <w:t>Q7 – Retention and Achievement Rates (in region)</w:t>
            </w:r>
          </w:p>
        </w:tc>
      </w:tr>
      <w:tr w:rsidR="00D45F06" w14:paraId="2601E731" w14:textId="77777777" w:rsidTr="00DF719D">
        <w:tc>
          <w:tcPr>
            <w:tcW w:w="1158" w:type="dxa"/>
          </w:tcPr>
          <w:p w14:paraId="3890C909" w14:textId="77777777" w:rsidR="00D45F06" w:rsidRDefault="00D45F06" w:rsidP="00D45F06">
            <w:pPr>
              <w:spacing w:before="120" w:after="120"/>
              <w:rPr>
                <w:rFonts w:ascii="Century Gothic" w:hAnsi="Century Gothic"/>
              </w:rPr>
            </w:pPr>
          </w:p>
        </w:tc>
        <w:tc>
          <w:tcPr>
            <w:tcW w:w="2804" w:type="dxa"/>
          </w:tcPr>
          <w:p w14:paraId="257D393C" w14:textId="77777777" w:rsidR="00D45F06" w:rsidRPr="00D45F06" w:rsidRDefault="00D45F06" w:rsidP="00D45F06">
            <w:pPr>
              <w:spacing w:before="120" w:after="120"/>
              <w:rPr>
                <w:rFonts w:ascii="Century Gothic" w:hAnsi="Century Gothic"/>
                <w:b/>
              </w:rPr>
            </w:pPr>
            <w:r w:rsidRPr="00D45F06">
              <w:rPr>
                <w:rFonts w:ascii="Century Gothic" w:hAnsi="Century Gothic"/>
                <w:b/>
              </w:rPr>
              <w:t>Course</w:t>
            </w:r>
          </w:p>
        </w:tc>
        <w:tc>
          <w:tcPr>
            <w:tcW w:w="2866" w:type="dxa"/>
          </w:tcPr>
          <w:p w14:paraId="500979E7" w14:textId="77777777" w:rsidR="00D45F06" w:rsidRPr="00D45F06" w:rsidRDefault="00D45F06" w:rsidP="00D45F06">
            <w:pPr>
              <w:spacing w:before="120" w:after="120"/>
              <w:jc w:val="center"/>
              <w:rPr>
                <w:rFonts w:ascii="Century Gothic" w:hAnsi="Century Gothic"/>
                <w:b/>
              </w:rPr>
            </w:pPr>
            <w:r w:rsidRPr="00D45F06">
              <w:rPr>
                <w:rFonts w:ascii="Century Gothic" w:hAnsi="Century Gothic"/>
                <w:b/>
              </w:rPr>
              <w:t>Retention (post 42 days)</w:t>
            </w:r>
          </w:p>
        </w:tc>
        <w:tc>
          <w:tcPr>
            <w:tcW w:w="2217" w:type="dxa"/>
          </w:tcPr>
          <w:p w14:paraId="16967B39" w14:textId="77777777" w:rsidR="00D45F06" w:rsidRPr="00D45F06" w:rsidRDefault="00D45F06" w:rsidP="00D45F06">
            <w:pPr>
              <w:spacing w:before="120" w:after="120"/>
              <w:jc w:val="center"/>
              <w:rPr>
                <w:rFonts w:ascii="Century Gothic" w:hAnsi="Century Gothic"/>
                <w:b/>
              </w:rPr>
            </w:pPr>
            <w:r w:rsidRPr="00D45F06">
              <w:rPr>
                <w:rFonts w:ascii="Century Gothic" w:hAnsi="Century Gothic"/>
                <w:b/>
              </w:rPr>
              <w:t>Achievement %</w:t>
            </w:r>
          </w:p>
        </w:tc>
      </w:tr>
      <w:tr w:rsidR="00D45F06" w14:paraId="7C5024FF" w14:textId="77777777" w:rsidTr="00DF719D">
        <w:tc>
          <w:tcPr>
            <w:tcW w:w="1158" w:type="dxa"/>
          </w:tcPr>
          <w:p w14:paraId="320F0018" w14:textId="3F2D9F8A" w:rsidR="00D45F06" w:rsidRPr="00D45F06" w:rsidRDefault="003A4C67" w:rsidP="00D45F06">
            <w:pPr>
              <w:spacing w:before="120" w:after="120"/>
              <w:rPr>
                <w:rFonts w:ascii="Century Gothic" w:hAnsi="Century Gothic"/>
                <w:b/>
              </w:rPr>
            </w:pPr>
            <w:r>
              <w:rPr>
                <w:rFonts w:ascii="Century Gothic" w:hAnsi="Century Gothic"/>
                <w:b/>
              </w:rPr>
              <w:t>202</w:t>
            </w:r>
            <w:r w:rsidR="00B70FB1">
              <w:rPr>
                <w:rFonts w:ascii="Century Gothic" w:hAnsi="Century Gothic"/>
                <w:b/>
              </w:rPr>
              <w:t>4</w:t>
            </w:r>
            <w:r>
              <w:rPr>
                <w:rFonts w:ascii="Century Gothic" w:hAnsi="Century Gothic"/>
                <w:b/>
              </w:rPr>
              <w:t>/2</w:t>
            </w:r>
            <w:r w:rsidR="00B70FB1">
              <w:rPr>
                <w:rFonts w:ascii="Century Gothic" w:hAnsi="Century Gothic"/>
                <w:b/>
              </w:rPr>
              <w:t>5</w:t>
            </w:r>
          </w:p>
        </w:tc>
        <w:tc>
          <w:tcPr>
            <w:tcW w:w="2804" w:type="dxa"/>
          </w:tcPr>
          <w:p w14:paraId="04836287" w14:textId="77777777" w:rsidR="00D45F06" w:rsidRPr="00AF309E" w:rsidRDefault="00D45F06" w:rsidP="00D45F06">
            <w:pPr>
              <w:spacing w:before="120" w:after="120"/>
              <w:rPr>
                <w:rFonts w:ascii="Century Gothic" w:hAnsi="Century Gothic"/>
              </w:rPr>
            </w:pPr>
            <w:r w:rsidRPr="00AF309E">
              <w:rPr>
                <w:rFonts w:ascii="Century Gothic" w:hAnsi="Century Gothic"/>
              </w:rPr>
              <w:t>Study programme</w:t>
            </w:r>
          </w:p>
        </w:tc>
        <w:tc>
          <w:tcPr>
            <w:tcW w:w="2866" w:type="dxa"/>
          </w:tcPr>
          <w:p w14:paraId="3F67854C" w14:textId="0A7B8B82" w:rsidR="00D45F06" w:rsidRDefault="00D45F06" w:rsidP="0079323A">
            <w:pPr>
              <w:spacing w:before="120" w:after="120"/>
              <w:jc w:val="center"/>
              <w:rPr>
                <w:rFonts w:ascii="Century Gothic" w:hAnsi="Century Gothic"/>
              </w:rPr>
            </w:pPr>
          </w:p>
        </w:tc>
        <w:tc>
          <w:tcPr>
            <w:tcW w:w="2217" w:type="dxa"/>
          </w:tcPr>
          <w:p w14:paraId="01718D8E" w14:textId="4BCCCA59" w:rsidR="00D45F06" w:rsidRDefault="00D45F06" w:rsidP="002B3163">
            <w:pPr>
              <w:spacing w:before="120" w:after="120"/>
              <w:jc w:val="center"/>
              <w:rPr>
                <w:rFonts w:ascii="Century Gothic" w:hAnsi="Century Gothic"/>
              </w:rPr>
            </w:pPr>
          </w:p>
        </w:tc>
      </w:tr>
      <w:tr w:rsidR="00D45F06" w14:paraId="73A1EF0D" w14:textId="77777777" w:rsidTr="00DF719D">
        <w:tc>
          <w:tcPr>
            <w:tcW w:w="1158" w:type="dxa"/>
          </w:tcPr>
          <w:p w14:paraId="29A8557B" w14:textId="0713964D" w:rsidR="00D45F06" w:rsidRPr="00D45F06" w:rsidRDefault="003A4C67" w:rsidP="00D45F06">
            <w:pPr>
              <w:spacing w:before="120" w:after="120"/>
              <w:rPr>
                <w:rFonts w:ascii="Century Gothic" w:hAnsi="Century Gothic"/>
                <w:b/>
              </w:rPr>
            </w:pPr>
            <w:r>
              <w:rPr>
                <w:rFonts w:ascii="Century Gothic" w:hAnsi="Century Gothic"/>
                <w:b/>
              </w:rPr>
              <w:t>202</w:t>
            </w:r>
            <w:r w:rsidR="00B70FB1">
              <w:rPr>
                <w:rFonts w:ascii="Century Gothic" w:hAnsi="Century Gothic"/>
                <w:b/>
              </w:rPr>
              <w:t>5</w:t>
            </w:r>
            <w:r>
              <w:rPr>
                <w:rFonts w:ascii="Century Gothic" w:hAnsi="Century Gothic"/>
                <w:b/>
              </w:rPr>
              <w:t>/2</w:t>
            </w:r>
            <w:r w:rsidR="00B70FB1">
              <w:rPr>
                <w:rFonts w:ascii="Century Gothic" w:hAnsi="Century Gothic"/>
                <w:b/>
              </w:rPr>
              <w:t>6</w:t>
            </w:r>
            <w:r>
              <w:rPr>
                <w:rFonts w:ascii="Century Gothic" w:hAnsi="Century Gothic"/>
                <w:b/>
              </w:rPr>
              <w:t xml:space="preserve"> planned</w:t>
            </w:r>
          </w:p>
        </w:tc>
        <w:tc>
          <w:tcPr>
            <w:tcW w:w="2804" w:type="dxa"/>
          </w:tcPr>
          <w:p w14:paraId="39E42507" w14:textId="77777777" w:rsidR="00D45F06" w:rsidRPr="00AF309E" w:rsidRDefault="003A4C67" w:rsidP="00D45F06">
            <w:pPr>
              <w:spacing w:before="120" w:after="120"/>
              <w:rPr>
                <w:rFonts w:ascii="Century Gothic" w:hAnsi="Century Gothic"/>
              </w:rPr>
            </w:pPr>
            <w:r w:rsidRPr="00AF309E">
              <w:rPr>
                <w:rFonts w:ascii="Century Gothic" w:hAnsi="Century Gothic"/>
              </w:rPr>
              <w:t>Study programme</w:t>
            </w:r>
          </w:p>
        </w:tc>
        <w:tc>
          <w:tcPr>
            <w:tcW w:w="2866" w:type="dxa"/>
          </w:tcPr>
          <w:p w14:paraId="006D531E" w14:textId="601DFD26" w:rsidR="00D45F06" w:rsidRDefault="00D45F06" w:rsidP="007702E1">
            <w:pPr>
              <w:spacing w:before="120" w:after="120"/>
              <w:jc w:val="center"/>
              <w:rPr>
                <w:rFonts w:ascii="Century Gothic" w:hAnsi="Century Gothic"/>
              </w:rPr>
            </w:pPr>
          </w:p>
        </w:tc>
        <w:tc>
          <w:tcPr>
            <w:tcW w:w="2217" w:type="dxa"/>
          </w:tcPr>
          <w:p w14:paraId="7D1A43A4" w14:textId="40A39F2B" w:rsidR="00D45F06" w:rsidRDefault="00D45F06" w:rsidP="001D5645">
            <w:pPr>
              <w:spacing w:before="120" w:after="120"/>
              <w:jc w:val="center"/>
              <w:rPr>
                <w:rFonts w:ascii="Century Gothic" w:hAnsi="Century Gothic"/>
              </w:rPr>
            </w:pPr>
          </w:p>
        </w:tc>
      </w:tr>
    </w:tbl>
    <w:p w14:paraId="70C6CCD6" w14:textId="77777777" w:rsidR="00D45F06" w:rsidRDefault="00D45F06"/>
    <w:p w14:paraId="15AD15BF" w14:textId="1579BD1A" w:rsidR="00DE6067" w:rsidRDefault="00DE6067"/>
    <w:p w14:paraId="7A58399A" w14:textId="77777777" w:rsidR="00B70FB1" w:rsidRDefault="00B70FB1"/>
    <w:tbl>
      <w:tblPr>
        <w:tblStyle w:val="TableGrid"/>
        <w:tblW w:w="0" w:type="auto"/>
        <w:tblLook w:val="04A0" w:firstRow="1" w:lastRow="0" w:firstColumn="1" w:lastColumn="0" w:noHBand="0" w:noVBand="1"/>
      </w:tblPr>
      <w:tblGrid>
        <w:gridCol w:w="9016"/>
      </w:tblGrid>
      <w:tr w:rsidR="00183263" w14:paraId="146FAF33" w14:textId="77777777" w:rsidTr="00855E82">
        <w:tc>
          <w:tcPr>
            <w:tcW w:w="9016" w:type="dxa"/>
          </w:tcPr>
          <w:p w14:paraId="2C27F85C" w14:textId="77777777" w:rsidR="00183263" w:rsidRPr="00D45F06" w:rsidRDefault="00183263" w:rsidP="00D45F06">
            <w:pPr>
              <w:spacing w:before="120" w:after="120"/>
              <w:rPr>
                <w:rFonts w:ascii="Century Gothic" w:hAnsi="Century Gothic"/>
                <w:b/>
              </w:rPr>
            </w:pPr>
            <w:r w:rsidRPr="00D45F06">
              <w:rPr>
                <w:rFonts w:ascii="Century Gothic" w:hAnsi="Century Gothic"/>
                <w:b/>
              </w:rPr>
              <w:lastRenderedPageBreak/>
              <w:t xml:space="preserve">Q8 – Description of Known Progression (HE, Apprenticeships, Employment etc.) </w:t>
            </w:r>
            <w:r w:rsidR="00812199">
              <w:rPr>
                <w:rFonts w:ascii="Century Gothic" w:hAnsi="Century Gothic"/>
                <w:b/>
              </w:rPr>
              <w:t xml:space="preserve">and Percentage of Positive Progression </w:t>
            </w:r>
            <w:r w:rsidRPr="00D45F06">
              <w:rPr>
                <w:rFonts w:ascii="Century Gothic" w:hAnsi="Century Gothic"/>
                <w:b/>
              </w:rPr>
              <w:t>(300 words max)</w:t>
            </w:r>
          </w:p>
        </w:tc>
      </w:tr>
      <w:tr w:rsidR="00183263" w14:paraId="0A837316" w14:textId="77777777" w:rsidTr="00855E82">
        <w:tc>
          <w:tcPr>
            <w:tcW w:w="901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4"/>
              <w:gridCol w:w="1203"/>
              <w:gridCol w:w="1203"/>
            </w:tblGrid>
            <w:tr w:rsidR="00302813" w:rsidRPr="004478B1" w14:paraId="30958ABF" w14:textId="77777777" w:rsidTr="00302813">
              <w:trPr>
                <w:jc w:val="center"/>
              </w:trPr>
              <w:tc>
                <w:tcPr>
                  <w:tcW w:w="4724" w:type="dxa"/>
                  <w:tcMar>
                    <w:top w:w="0" w:type="dxa"/>
                    <w:left w:w="108" w:type="dxa"/>
                    <w:bottom w:w="0" w:type="dxa"/>
                    <w:right w:w="108" w:type="dxa"/>
                  </w:tcMar>
                  <w:hideMark/>
                </w:tcPr>
                <w:p w14:paraId="4B2EFA65" w14:textId="77777777" w:rsidR="00302813" w:rsidRPr="004478B1" w:rsidRDefault="00302813" w:rsidP="00242399">
                  <w:pPr>
                    <w:spacing w:after="0" w:line="240" w:lineRule="auto"/>
                    <w:rPr>
                      <w:rFonts w:ascii="Calibri" w:eastAsia="Calibri" w:hAnsi="Calibri" w:cs="Calibri"/>
                      <w:b/>
                      <w:bCs/>
                      <w:lang w:val="en-US"/>
                    </w:rPr>
                  </w:pPr>
                  <w:r w:rsidRPr="004478B1">
                    <w:rPr>
                      <w:rFonts w:ascii="Calibri" w:eastAsia="Calibri" w:hAnsi="Calibri" w:cs="Calibri"/>
                      <w:b/>
                      <w:bCs/>
                      <w:lang w:val="en-US"/>
                    </w:rPr>
                    <w:t xml:space="preserve">Destination Data </w:t>
                  </w:r>
                </w:p>
              </w:tc>
              <w:tc>
                <w:tcPr>
                  <w:tcW w:w="1203" w:type="dxa"/>
                </w:tcPr>
                <w:p w14:paraId="6448D0ED" w14:textId="41047671" w:rsidR="00302813" w:rsidRDefault="00302813" w:rsidP="00242399">
                  <w:pPr>
                    <w:spacing w:after="0" w:line="240" w:lineRule="auto"/>
                    <w:jc w:val="center"/>
                    <w:rPr>
                      <w:rFonts w:ascii="Calibri" w:eastAsia="Calibri" w:hAnsi="Calibri" w:cs="Calibri"/>
                      <w:b/>
                      <w:bCs/>
                      <w:lang w:val="en-US"/>
                    </w:rPr>
                  </w:pPr>
                  <w:r>
                    <w:rPr>
                      <w:rFonts w:ascii="Calibri" w:eastAsia="Calibri" w:hAnsi="Calibri" w:cs="Calibri"/>
                      <w:b/>
                      <w:bCs/>
                      <w:lang w:val="en-US"/>
                    </w:rPr>
                    <w:t>202</w:t>
                  </w:r>
                  <w:r w:rsidR="00B70FB1">
                    <w:rPr>
                      <w:rFonts w:ascii="Calibri" w:eastAsia="Calibri" w:hAnsi="Calibri" w:cs="Calibri"/>
                      <w:b/>
                      <w:bCs/>
                      <w:lang w:val="en-US"/>
                    </w:rPr>
                    <w:t>4</w:t>
                  </w:r>
                  <w:r w:rsidR="00794E1B">
                    <w:rPr>
                      <w:rFonts w:ascii="Calibri" w:eastAsia="Calibri" w:hAnsi="Calibri" w:cs="Calibri"/>
                      <w:b/>
                      <w:bCs/>
                      <w:lang w:val="en-US"/>
                    </w:rPr>
                    <w:t>/</w:t>
                  </w:r>
                  <w:r>
                    <w:rPr>
                      <w:rFonts w:ascii="Calibri" w:eastAsia="Calibri" w:hAnsi="Calibri" w:cs="Calibri"/>
                      <w:b/>
                      <w:bCs/>
                      <w:lang w:val="en-US"/>
                    </w:rPr>
                    <w:t>202</w:t>
                  </w:r>
                  <w:r w:rsidR="00B70FB1">
                    <w:rPr>
                      <w:rFonts w:ascii="Calibri" w:eastAsia="Calibri" w:hAnsi="Calibri" w:cs="Calibri"/>
                      <w:b/>
                      <w:bCs/>
                      <w:lang w:val="en-US"/>
                    </w:rPr>
                    <w:t>5</w:t>
                  </w:r>
                </w:p>
              </w:tc>
              <w:tc>
                <w:tcPr>
                  <w:tcW w:w="1203" w:type="dxa"/>
                </w:tcPr>
                <w:p w14:paraId="588404F0" w14:textId="66F11C4D" w:rsidR="00302813" w:rsidRPr="004478B1" w:rsidRDefault="00302813" w:rsidP="00242399">
                  <w:pPr>
                    <w:spacing w:after="0" w:line="240" w:lineRule="auto"/>
                    <w:jc w:val="center"/>
                    <w:rPr>
                      <w:rFonts w:ascii="Calibri" w:eastAsia="Calibri" w:hAnsi="Calibri" w:cs="Calibri"/>
                      <w:b/>
                      <w:bCs/>
                      <w:lang w:val="en-US"/>
                    </w:rPr>
                  </w:pPr>
                  <w:r>
                    <w:rPr>
                      <w:rFonts w:ascii="Calibri" w:eastAsia="Calibri" w:hAnsi="Calibri" w:cs="Calibri"/>
                      <w:b/>
                      <w:bCs/>
                      <w:lang w:val="en-US"/>
                    </w:rPr>
                    <w:t>202</w:t>
                  </w:r>
                  <w:r w:rsidR="00B70FB1">
                    <w:rPr>
                      <w:rFonts w:ascii="Calibri" w:eastAsia="Calibri" w:hAnsi="Calibri" w:cs="Calibri"/>
                      <w:b/>
                      <w:bCs/>
                      <w:lang w:val="en-US"/>
                    </w:rPr>
                    <w:t>5</w:t>
                  </w:r>
                  <w:r>
                    <w:rPr>
                      <w:rFonts w:ascii="Calibri" w:eastAsia="Calibri" w:hAnsi="Calibri" w:cs="Calibri"/>
                      <w:b/>
                      <w:bCs/>
                      <w:lang w:val="en-US"/>
                    </w:rPr>
                    <w:t>/2</w:t>
                  </w:r>
                  <w:r w:rsidR="00B70FB1">
                    <w:rPr>
                      <w:rFonts w:ascii="Calibri" w:eastAsia="Calibri" w:hAnsi="Calibri" w:cs="Calibri"/>
                      <w:b/>
                      <w:bCs/>
                      <w:lang w:val="en-US"/>
                    </w:rPr>
                    <w:t>6</w:t>
                  </w:r>
                  <w:r>
                    <w:rPr>
                      <w:rFonts w:ascii="Calibri" w:eastAsia="Calibri" w:hAnsi="Calibri" w:cs="Calibri"/>
                      <w:b/>
                      <w:bCs/>
                      <w:lang w:val="en-US"/>
                    </w:rPr>
                    <w:t xml:space="preserve"> Predicted</w:t>
                  </w:r>
                </w:p>
              </w:tc>
            </w:tr>
            <w:tr w:rsidR="00302813" w:rsidRPr="004478B1" w14:paraId="1B88F545" w14:textId="77777777" w:rsidTr="00302813">
              <w:trPr>
                <w:jc w:val="center"/>
              </w:trPr>
              <w:tc>
                <w:tcPr>
                  <w:tcW w:w="4724" w:type="dxa"/>
                  <w:tcMar>
                    <w:top w:w="0" w:type="dxa"/>
                    <w:left w:w="108" w:type="dxa"/>
                    <w:bottom w:w="0" w:type="dxa"/>
                    <w:right w:w="108" w:type="dxa"/>
                  </w:tcMar>
                  <w:hideMark/>
                </w:tcPr>
                <w:p w14:paraId="73F88F89" w14:textId="77777777" w:rsidR="00302813" w:rsidRPr="004478B1" w:rsidRDefault="00302813" w:rsidP="00242399">
                  <w:pPr>
                    <w:spacing w:after="0" w:line="240" w:lineRule="auto"/>
                    <w:rPr>
                      <w:rFonts w:ascii="Calibri" w:eastAsia="Calibri" w:hAnsi="Calibri" w:cs="Calibri"/>
                    </w:rPr>
                  </w:pPr>
                  <w:r w:rsidRPr="004478B1">
                    <w:rPr>
                      <w:rFonts w:ascii="Calibri" w:eastAsia="Calibri" w:hAnsi="Calibri" w:cs="Calibri"/>
                      <w:lang w:val="en-US"/>
                    </w:rPr>
                    <w:t xml:space="preserve">Education </w:t>
                  </w:r>
                </w:p>
              </w:tc>
              <w:tc>
                <w:tcPr>
                  <w:tcW w:w="1203" w:type="dxa"/>
                </w:tcPr>
                <w:p w14:paraId="21A765EB" w14:textId="65D48E6C" w:rsidR="00302813" w:rsidRDefault="00302813" w:rsidP="00242399">
                  <w:pPr>
                    <w:spacing w:after="0" w:line="240" w:lineRule="auto"/>
                    <w:jc w:val="center"/>
                    <w:rPr>
                      <w:rFonts w:ascii="Calibri" w:eastAsia="Calibri" w:hAnsi="Calibri" w:cs="Calibri"/>
                      <w:lang w:val="en-US"/>
                    </w:rPr>
                  </w:pPr>
                </w:p>
              </w:tc>
              <w:tc>
                <w:tcPr>
                  <w:tcW w:w="1203" w:type="dxa"/>
                </w:tcPr>
                <w:p w14:paraId="2DFDB89F" w14:textId="4DCA52BA" w:rsidR="00302813" w:rsidRPr="004478B1" w:rsidRDefault="00302813" w:rsidP="00242399">
                  <w:pPr>
                    <w:spacing w:after="0" w:line="240" w:lineRule="auto"/>
                    <w:jc w:val="center"/>
                    <w:rPr>
                      <w:rFonts w:ascii="Calibri" w:eastAsia="Calibri" w:hAnsi="Calibri" w:cs="Calibri"/>
                      <w:lang w:val="en-US"/>
                    </w:rPr>
                  </w:pPr>
                </w:p>
              </w:tc>
            </w:tr>
            <w:tr w:rsidR="00302813" w:rsidRPr="004478B1" w14:paraId="2E7A270C" w14:textId="77777777" w:rsidTr="00302813">
              <w:trPr>
                <w:jc w:val="center"/>
              </w:trPr>
              <w:tc>
                <w:tcPr>
                  <w:tcW w:w="4724" w:type="dxa"/>
                  <w:tcMar>
                    <w:top w:w="0" w:type="dxa"/>
                    <w:left w:w="108" w:type="dxa"/>
                    <w:bottom w:w="0" w:type="dxa"/>
                    <w:right w:w="108" w:type="dxa"/>
                  </w:tcMar>
                  <w:hideMark/>
                </w:tcPr>
                <w:p w14:paraId="70361CC6" w14:textId="77777777" w:rsidR="00302813" w:rsidRPr="0026371E" w:rsidRDefault="00302813" w:rsidP="00242399">
                  <w:pPr>
                    <w:spacing w:after="0" w:line="240" w:lineRule="auto"/>
                    <w:rPr>
                      <w:rFonts w:ascii="Calibri" w:eastAsia="Calibri" w:hAnsi="Calibri" w:cs="Calibri"/>
                    </w:rPr>
                  </w:pPr>
                  <w:r w:rsidRPr="0026371E">
                    <w:rPr>
                      <w:rFonts w:ascii="Calibri" w:eastAsia="Calibri" w:hAnsi="Calibri" w:cs="Calibri"/>
                      <w:lang w:val="en-US"/>
                    </w:rPr>
                    <w:t>Employment/Training</w:t>
                  </w:r>
                </w:p>
              </w:tc>
              <w:tc>
                <w:tcPr>
                  <w:tcW w:w="1203" w:type="dxa"/>
                </w:tcPr>
                <w:p w14:paraId="66FAC76C" w14:textId="197A0D3F" w:rsidR="00302813" w:rsidRDefault="00302813" w:rsidP="00242399">
                  <w:pPr>
                    <w:spacing w:after="0" w:line="240" w:lineRule="auto"/>
                    <w:jc w:val="center"/>
                    <w:rPr>
                      <w:rFonts w:ascii="Calibri" w:eastAsia="Calibri" w:hAnsi="Calibri" w:cs="Calibri"/>
                      <w:lang w:val="en-US"/>
                    </w:rPr>
                  </w:pPr>
                </w:p>
              </w:tc>
              <w:tc>
                <w:tcPr>
                  <w:tcW w:w="1203" w:type="dxa"/>
                </w:tcPr>
                <w:p w14:paraId="3DC15EDD" w14:textId="2668B1CF" w:rsidR="00302813" w:rsidRPr="0026371E" w:rsidRDefault="00302813" w:rsidP="00242399">
                  <w:pPr>
                    <w:spacing w:after="0" w:line="240" w:lineRule="auto"/>
                    <w:jc w:val="center"/>
                    <w:rPr>
                      <w:rFonts w:ascii="Calibri" w:eastAsia="Calibri" w:hAnsi="Calibri" w:cs="Calibri"/>
                      <w:lang w:val="en-US"/>
                    </w:rPr>
                  </w:pPr>
                </w:p>
              </w:tc>
            </w:tr>
            <w:tr w:rsidR="00302813" w:rsidRPr="004478B1" w14:paraId="610F34E4" w14:textId="77777777" w:rsidTr="00302813">
              <w:trPr>
                <w:jc w:val="center"/>
              </w:trPr>
              <w:tc>
                <w:tcPr>
                  <w:tcW w:w="4724" w:type="dxa"/>
                  <w:tcMar>
                    <w:top w:w="0" w:type="dxa"/>
                    <w:left w:w="108" w:type="dxa"/>
                    <w:bottom w:w="0" w:type="dxa"/>
                    <w:right w:w="108" w:type="dxa"/>
                  </w:tcMar>
                  <w:hideMark/>
                </w:tcPr>
                <w:p w14:paraId="1F38D52C" w14:textId="77777777" w:rsidR="00302813" w:rsidRPr="0026371E" w:rsidRDefault="00302813" w:rsidP="00242399">
                  <w:pPr>
                    <w:spacing w:after="0" w:line="240" w:lineRule="auto"/>
                    <w:rPr>
                      <w:rFonts w:ascii="Calibri" w:eastAsia="Calibri" w:hAnsi="Calibri" w:cs="Calibri"/>
                    </w:rPr>
                  </w:pPr>
                  <w:r w:rsidRPr="0026371E">
                    <w:rPr>
                      <w:rFonts w:ascii="Calibri" w:eastAsia="Calibri" w:hAnsi="Calibri" w:cs="Calibri"/>
                      <w:lang w:val="en-US"/>
                    </w:rPr>
                    <w:t>Not in Education, Employment or Training (NEET)</w:t>
                  </w:r>
                </w:p>
              </w:tc>
              <w:tc>
                <w:tcPr>
                  <w:tcW w:w="1203" w:type="dxa"/>
                </w:tcPr>
                <w:p w14:paraId="6256BC58" w14:textId="0BAE81AB" w:rsidR="00302813" w:rsidRDefault="00302813" w:rsidP="00242399">
                  <w:pPr>
                    <w:spacing w:after="0" w:line="240" w:lineRule="auto"/>
                    <w:jc w:val="center"/>
                    <w:rPr>
                      <w:rFonts w:ascii="Calibri" w:eastAsia="Calibri" w:hAnsi="Calibri" w:cs="Calibri"/>
                      <w:lang w:val="en-US"/>
                    </w:rPr>
                  </w:pPr>
                </w:p>
              </w:tc>
              <w:tc>
                <w:tcPr>
                  <w:tcW w:w="1203" w:type="dxa"/>
                </w:tcPr>
                <w:p w14:paraId="3484611F" w14:textId="7A5AE274" w:rsidR="00302813" w:rsidRPr="0026371E" w:rsidRDefault="00302813" w:rsidP="00242399">
                  <w:pPr>
                    <w:spacing w:after="0" w:line="240" w:lineRule="auto"/>
                    <w:jc w:val="center"/>
                    <w:rPr>
                      <w:rFonts w:ascii="Calibri" w:eastAsia="Calibri" w:hAnsi="Calibri" w:cs="Calibri"/>
                      <w:lang w:val="en-US"/>
                    </w:rPr>
                  </w:pPr>
                </w:p>
              </w:tc>
            </w:tr>
            <w:tr w:rsidR="00302813" w:rsidRPr="004478B1" w14:paraId="540517C6" w14:textId="77777777" w:rsidTr="00302813">
              <w:trPr>
                <w:jc w:val="center"/>
              </w:trPr>
              <w:tc>
                <w:tcPr>
                  <w:tcW w:w="4724" w:type="dxa"/>
                  <w:tcMar>
                    <w:top w:w="0" w:type="dxa"/>
                    <w:left w:w="108" w:type="dxa"/>
                    <w:bottom w:w="0" w:type="dxa"/>
                    <w:right w:w="108" w:type="dxa"/>
                  </w:tcMar>
                  <w:hideMark/>
                </w:tcPr>
                <w:p w14:paraId="1F6CEF43" w14:textId="77777777" w:rsidR="00302813" w:rsidRPr="0026371E" w:rsidRDefault="00302813" w:rsidP="00242399">
                  <w:pPr>
                    <w:spacing w:after="0" w:line="240" w:lineRule="auto"/>
                    <w:rPr>
                      <w:rFonts w:ascii="Calibri" w:eastAsia="Calibri" w:hAnsi="Calibri" w:cs="Calibri"/>
                      <w:lang w:val="en-US"/>
                    </w:rPr>
                  </w:pPr>
                  <w:r w:rsidRPr="0026371E">
                    <w:rPr>
                      <w:rFonts w:ascii="Calibri" w:eastAsia="Calibri" w:hAnsi="Calibri" w:cs="Calibri"/>
                      <w:lang w:val="en-US"/>
                    </w:rPr>
                    <w:t>Personal circumstances (young parents, CCE etc.)</w:t>
                  </w:r>
                </w:p>
              </w:tc>
              <w:tc>
                <w:tcPr>
                  <w:tcW w:w="1203" w:type="dxa"/>
                </w:tcPr>
                <w:p w14:paraId="3123AE6A" w14:textId="66D643F2" w:rsidR="00302813" w:rsidRDefault="00302813" w:rsidP="00242399">
                  <w:pPr>
                    <w:spacing w:after="0" w:line="240" w:lineRule="auto"/>
                    <w:jc w:val="center"/>
                    <w:rPr>
                      <w:rFonts w:ascii="Calibri" w:eastAsia="Calibri" w:hAnsi="Calibri" w:cs="Calibri"/>
                      <w:lang w:val="en-US"/>
                    </w:rPr>
                  </w:pPr>
                </w:p>
              </w:tc>
              <w:tc>
                <w:tcPr>
                  <w:tcW w:w="1203" w:type="dxa"/>
                </w:tcPr>
                <w:p w14:paraId="40E6E084" w14:textId="40B1249C" w:rsidR="00302813" w:rsidRPr="0026371E" w:rsidRDefault="00302813" w:rsidP="00242399">
                  <w:pPr>
                    <w:spacing w:after="0" w:line="240" w:lineRule="auto"/>
                    <w:jc w:val="center"/>
                    <w:rPr>
                      <w:rFonts w:ascii="Calibri" w:eastAsia="Calibri" w:hAnsi="Calibri" w:cs="Calibri"/>
                      <w:lang w:val="en-US"/>
                    </w:rPr>
                  </w:pPr>
                </w:p>
              </w:tc>
            </w:tr>
          </w:tbl>
          <w:p w14:paraId="1BA0FFD6" w14:textId="77777777" w:rsidR="00183263" w:rsidRDefault="00183263" w:rsidP="00D45F06">
            <w:pPr>
              <w:spacing w:before="120" w:after="120"/>
              <w:rPr>
                <w:rFonts w:ascii="Century Gothic" w:hAnsi="Century Gothic"/>
              </w:rPr>
            </w:pPr>
          </w:p>
        </w:tc>
      </w:tr>
      <w:tr w:rsidR="00E61BAB" w14:paraId="2CCDA07D" w14:textId="77777777" w:rsidTr="00855E82">
        <w:tc>
          <w:tcPr>
            <w:tcW w:w="9016" w:type="dxa"/>
          </w:tcPr>
          <w:p w14:paraId="32DE4943" w14:textId="77777777" w:rsidR="00E61BAB" w:rsidRDefault="00E61BAB" w:rsidP="00242399">
            <w:pPr>
              <w:rPr>
                <w:rFonts w:ascii="Calibri" w:eastAsia="Calibri" w:hAnsi="Calibri" w:cs="Calibri"/>
                <w:b/>
                <w:bCs/>
                <w:lang w:val="en-US"/>
              </w:rPr>
            </w:pPr>
          </w:p>
          <w:p w14:paraId="467FB849" w14:textId="77777777" w:rsidR="00E61BAB" w:rsidRPr="004478B1" w:rsidRDefault="00E61BAB" w:rsidP="00242399">
            <w:pPr>
              <w:rPr>
                <w:rFonts w:ascii="Calibri" w:eastAsia="Calibri" w:hAnsi="Calibri" w:cs="Calibri"/>
                <w:b/>
                <w:bCs/>
                <w:lang w:val="en-US"/>
              </w:rPr>
            </w:pPr>
          </w:p>
        </w:tc>
      </w:tr>
    </w:tbl>
    <w:p w14:paraId="6FE2CB43" w14:textId="77777777" w:rsidR="00D45F06" w:rsidRDefault="00D45F06"/>
    <w:tbl>
      <w:tblPr>
        <w:tblStyle w:val="TableGrid"/>
        <w:tblW w:w="0" w:type="auto"/>
        <w:tblLook w:val="04A0" w:firstRow="1" w:lastRow="0" w:firstColumn="1" w:lastColumn="0" w:noHBand="0" w:noVBand="1"/>
      </w:tblPr>
      <w:tblGrid>
        <w:gridCol w:w="9016"/>
      </w:tblGrid>
      <w:tr w:rsidR="00183263" w14:paraId="188B723F" w14:textId="77777777" w:rsidTr="00855E82">
        <w:tc>
          <w:tcPr>
            <w:tcW w:w="9016" w:type="dxa"/>
          </w:tcPr>
          <w:p w14:paraId="6A9CB2FD" w14:textId="77777777" w:rsidR="00183263" w:rsidRPr="00D45F06" w:rsidRDefault="00183263" w:rsidP="00D45F06">
            <w:pPr>
              <w:spacing w:before="120" w:after="120"/>
              <w:rPr>
                <w:rFonts w:ascii="Century Gothic" w:hAnsi="Century Gothic"/>
                <w:b/>
              </w:rPr>
            </w:pPr>
            <w:r w:rsidRPr="00D45F06">
              <w:rPr>
                <w:rFonts w:ascii="Century Gothic" w:hAnsi="Century Gothic"/>
                <w:b/>
              </w:rPr>
              <w:t>Q9 – Summary of Quality Management and Improvement in FE Delivery (400 words max)</w:t>
            </w:r>
          </w:p>
        </w:tc>
      </w:tr>
    </w:tbl>
    <w:p w14:paraId="79C72C83" w14:textId="77777777" w:rsidR="00D45F06" w:rsidRDefault="00D45F06"/>
    <w:tbl>
      <w:tblPr>
        <w:tblStyle w:val="TableGrid"/>
        <w:tblW w:w="0" w:type="auto"/>
        <w:tblLook w:val="04A0" w:firstRow="1" w:lastRow="0" w:firstColumn="1" w:lastColumn="0" w:noHBand="0" w:noVBand="1"/>
      </w:tblPr>
      <w:tblGrid>
        <w:gridCol w:w="9016"/>
      </w:tblGrid>
      <w:tr w:rsidR="00855E82" w14:paraId="4B813E37" w14:textId="77777777" w:rsidTr="00855E82">
        <w:tc>
          <w:tcPr>
            <w:tcW w:w="9016" w:type="dxa"/>
          </w:tcPr>
          <w:p w14:paraId="6903A296" w14:textId="77777777" w:rsidR="00855E82" w:rsidRPr="00D45F06" w:rsidRDefault="00183263" w:rsidP="00D45F06">
            <w:pPr>
              <w:spacing w:before="120" w:after="120"/>
              <w:rPr>
                <w:rFonts w:ascii="Century Gothic" w:hAnsi="Century Gothic"/>
                <w:b/>
              </w:rPr>
            </w:pPr>
            <w:r w:rsidRPr="00D45F06">
              <w:rPr>
                <w:rFonts w:ascii="Century Gothic" w:hAnsi="Century Gothic"/>
                <w:b/>
              </w:rPr>
              <w:t>Q10 – Summary of Staff Experience and Qualifications (200 words max)</w:t>
            </w:r>
          </w:p>
        </w:tc>
      </w:tr>
      <w:tr w:rsidR="00183263" w14:paraId="0A315F70" w14:textId="77777777" w:rsidTr="00855E82">
        <w:tc>
          <w:tcPr>
            <w:tcW w:w="9016" w:type="dxa"/>
          </w:tcPr>
          <w:p w14:paraId="383CA922" w14:textId="44F97B7F" w:rsidR="00183263" w:rsidRDefault="00183263" w:rsidP="00244898">
            <w:pPr>
              <w:spacing w:before="120" w:after="120"/>
              <w:rPr>
                <w:rFonts w:ascii="Century Gothic" w:hAnsi="Century Gothic"/>
              </w:rPr>
            </w:pPr>
          </w:p>
        </w:tc>
      </w:tr>
    </w:tbl>
    <w:p w14:paraId="2326F640" w14:textId="77777777" w:rsidR="00CD06D2" w:rsidRDefault="00CD06D2" w:rsidP="00CD06D2">
      <w:pPr>
        <w:spacing w:after="0" w:line="240" w:lineRule="auto"/>
        <w:rPr>
          <w:rFonts w:ascii="Century Gothic" w:hAnsi="Century Gothic"/>
        </w:rPr>
      </w:pPr>
    </w:p>
    <w:tbl>
      <w:tblPr>
        <w:tblStyle w:val="TableGrid"/>
        <w:tblW w:w="0" w:type="auto"/>
        <w:tblLook w:val="04A0" w:firstRow="1" w:lastRow="0" w:firstColumn="1" w:lastColumn="0" w:noHBand="0" w:noVBand="1"/>
      </w:tblPr>
      <w:tblGrid>
        <w:gridCol w:w="9016"/>
      </w:tblGrid>
      <w:tr w:rsidR="00130097" w:rsidRPr="00D45F06" w14:paraId="296FADDD" w14:textId="77777777" w:rsidTr="003D5030">
        <w:tc>
          <w:tcPr>
            <w:tcW w:w="9016" w:type="dxa"/>
          </w:tcPr>
          <w:p w14:paraId="28C1AF52" w14:textId="77777777" w:rsidR="00130097" w:rsidRPr="00D45F06" w:rsidRDefault="00130097" w:rsidP="00130097">
            <w:pPr>
              <w:spacing w:before="120" w:after="120"/>
              <w:rPr>
                <w:rFonts w:ascii="Century Gothic" w:hAnsi="Century Gothic"/>
                <w:b/>
              </w:rPr>
            </w:pPr>
            <w:r>
              <w:rPr>
                <w:rFonts w:ascii="Century Gothic" w:hAnsi="Century Gothic"/>
                <w:b/>
              </w:rPr>
              <w:t>Q11</w:t>
            </w:r>
            <w:r w:rsidRPr="00D45F06">
              <w:rPr>
                <w:rFonts w:ascii="Century Gothic" w:hAnsi="Century Gothic"/>
                <w:b/>
              </w:rPr>
              <w:t xml:space="preserve"> – Summary of </w:t>
            </w:r>
            <w:r>
              <w:rPr>
                <w:rFonts w:ascii="Century Gothic" w:hAnsi="Century Gothic"/>
                <w:b/>
              </w:rPr>
              <w:t>relevant physical resources and any relevant photos</w:t>
            </w:r>
            <w:r w:rsidRPr="00D45F06">
              <w:rPr>
                <w:rFonts w:ascii="Century Gothic" w:hAnsi="Century Gothic"/>
                <w:b/>
              </w:rPr>
              <w:t xml:space="preserve"> (200 words max)</w:t>
            </w:r>
          </w:p>
        </w:tc>
      </w:tr>
      <w:tr w:rsidR="00130097" w14:paraId="59506913" w14:textId="77777777" w:rsidTr="003D5030">
        <w:tc>
          <w:tcPr>
            <w:tcW w:w="9016" w:type="dxa"/>
          </w:tcPr>
          <w:p w14:paraId="3C6DBF4B" w14:textId="77777777" w:rsidR="00130097" w:rsidRDefault="00130097" w:rsidP="00794E1B">
            <w:pPr>
              <w:pStyle w:val="ListParagraph"/>
              <w:numPr>
                <w:ilvl w:val="0"/>
                <w:numId w:val="29"/>
              </w:numPr>
              <w:spacing w:before="120" w:after="120"/>
              <w:rPr>
                <w:rFonts w:ascii="Century Gothic" w:hAnsi="Century Gothic"/>
              </w:rPr>
            </w:pPr>
          </w:p>
        </w:tc>
      </w:tr>
    </w:tbl>
    <w:p w14:paraId="7CDBED05" w14:textId="77777777" w:rsidR="00130097" w:rsidRDefault="00130097" w:rsidP="00CD06D2">
      <w:pPr>
        <w:spacing w:after="0" w:line="240" w:lineRule="auto"/>
        <w:rPr>
          <w:rFonts w:ascii="Century Gothic" w:hAnsi="Century Gothic"/>
        </w:rPr>
      </w:pPr>
    </w:p>
    <w:p w14:paraId="1C20C0F8" w14:textId="77777777" w:rsidR="00130097" w:rsidRDefault="00130097" w:rsidP="00CD06D2">
      <w:pPr>
        <w:spacing w:after="0" w:line="240" w:lineRule="auto"/>
        <w:rPr>
          <w:rFonts w:ascii="Century Gothic" w:hAnsi="Century Gothic"/>
        </w:rPr>
      </w:pPr>
    </w:p>
    <w:tbl>
      <w:tblPr>
        <w:tblStyle w:val="TableGrid"/>
        <w:tblW w:w="0" w:type="auto"/>
        <w:tblLook w:val="04A0" w:firstRow="1" w:lastRow="0" w:firstColumn="1" w:lastColumn="0" w:noHBand="0" w:noVBand="1"/>
      </w:tblPr>
      <w:tblGrid>
        <w:gridCol w:w="9016"/>
      </w:tblGrid>
      <w:tr w:rsidR="00CD06D2" w:rsidRPr="00D45F06" w14:paraId="6158A364" w14:textId="77777777" w:rsidTr="00CD06D2">
        <w:tc>
          <w:tcPr>
            <w:tcW w:w="9016" w:type="dxa"/>
          </w:tcPr>
          <w:p w14:paraId="2F97B027" w14:textId="77777777" w:rsidR="00CD06D2" w:rsidRDefault="00130097" w:rsidP="00CD06D2">
            <w:pPr>
              <w:spacing w:before="120" w:after="120"/>
              <w:rPr>
                <w:rFonts w:ascii="Century Gothic" w:hAnsi="Century Gothic"/>
                <w:b/>
              </w:rPr>
            </w:pPr>
            <w:r>
              <w:rPr>
                <w:rFonts w:ascii="Century Gothic" w:hAnsi="Century Gothic"/>
                <w:b/>
              </w:rPr>
              <w:t>Q12</w:t>
            </w:r>
            <w:r w:rsidR="00CD06D2" w:rsidRPr="00D45F06">
              <w:rPr>
                <w:rFonts w:ascii="Century Gothic" w:hAnsi="Century Gothic"/>
                <w:b/>
              </w:rPr>
              <w:t xml:space="preserve">– </w:t>
            </w:r>
            <w:r w:rsidR="00CD06D2">
              <w:rPr>
                <w:rFonts w:ascii="Century Gothic" w:hAnsi="Century Gothic"/>
                <w:b/>
              </w:rPr>
              <w:t>Pr</w:t>
            </w:r>
            <w:r w:rsidR="00997640">
              <w:rPr>
                <w:rFonts w:ascii="Century Gothic" w:hAnsi="Century Gothic"/>
                <w:b/>
              </w:rPr>
              <w:t xml:space="preserve">ovision to meet tender request </w:t>
            </w:r>
            <w:r w:rsidR="00CD06D2">
              <w:rPr>
                <w:rFonts w:ascii="Century Gothic" w:hAnsi="Century Gothic"/>
                <w:b/>
              </w:rPr>
              <w:t>(5</w:t>
            </w:r>
            <w:r w:rsidR="00CD06D2" w:rsidRPr="00D45F06">
              <w:rPr>
                <w:rFonts w:ascii="Century Gothic" w:hAnsi="Century Gothic"/>
                <w:b/>
              </w:rPr>
              <w:t>00 words max)</w:t>
            </w:r>
            <w:r w:rsidR="00997640">
              <w:rPr>
                <w:rFonts w:ascii="Century Gothic" w:hAnsi="Century Gothic"/>
                <w:b/>
              </w:rPr>
              <w:t>. Must include recruitment, quality delivery, student experience, delivery location considerations)</w:t>
            </w:r>
          </w:p>
          <w:p w14:paraId="694D9BA3" w14:textId="77777777" w:rsidR="00052E45" w:rsidRPr="00D45F06" w:rsidRDefault="00130097" w:rsidP="00CD06D2">
            <w:pPr>
              <w:spacing w:before="120" w:after="120"/>
              <w:rPr>
                <w:rFonts w:ascii="Century Gothic" w:hAnsi="Century Gothic"/>
                <w:b/>
              </w:rPr>
            </w:pPr>
            <w:r>
              <w:rPr>
                <w:rFonts w:ascii="Century Gothic" w:hAnsi="Century Gothic"/>
                <w:b/>
              </w:rPr>
              <w:t xml:space="preserve">Please also state min/max group sizes that you are able to support and deliver high quality training to. </w:t>
            </w:r>
          </w:p>
        </w:tc>
      </w:tr>
    </w:tbl>
    <w:p w14:paraId="6D2FAD4F" w14:textId="77777777" w:rsidR="00CD06D2" w:rsidRDefault="00CD06D2" w:rsidP="00CD06D2">
      <w:pPr>
        <w:spacing w:after="0" w:line="240" w:lineRule="auto"/>
        <w:rPr>
          <w:rFonts w:ascii="Century Gothic" w:hAnsi="Century Gothic"/>
        </w:rPr>
      </w:pPr>
    </w:p>
    <w:p w14:paraId="5918AB1B" w14:textId="77777777" w:rsidR="00CD06D2" w:rsidRDefault="00CD06D2" w:rsidP="00CD06D2">
      <w:pPr>
        <w:spacing w:after="0" w:line="240" w:lineRule="auto"/>
        <w:rPr>
          <w:rFonts w:ascii="Century Gothic" w:hAnsi="Century Gothic"/>
        </w:rPr>
      </w:pPr>
    </w:p>
    <w:p w14:paraId="22690AF2" w14:textId="77777777" w:rsidR="00CD06D2" w:rsidRDefault="00CD06D2" w:rsidP="00CD06D2">
      <w:pPr>
        <w:spacing w:after="0" w:line="240" w:lineRule="auto"/>
        <w:rPr>
          <w:rFonts w:ascii="Century Gothic" w:hAnsi="Century Gothic"/>
        </w:rPr>
      </w:pPr>
    </w:p>
    <w:p w14:paraId="32D59B1D" w14:textId="77777777" w:rsidR="00855E82" w:rsidRPr="00D45F06" w:rsidRDefault="00855E82" w:rsidP="00FC540B">
      <w:pPr>
        <w:spacing w:after="0" w:line="240" w:lineRule="auto"/>
        <w:rPr>
          <w:rFonts w:ascii="Century Gothic" w:hAnsi="Century Gothic"/>
          <w:b/>
        </w:rPr>
      </w:pPr>
      <w:r w:rsidRPr="00D45F06">
        <w:rPr>
          <w:rFonts w:ascii="Century Gothic" w:hAnsi="Century Gothic"/>
          <w:b/>
        </w:rPr>
        <w:t xml:space="preserve">Please provide the following documents with your </w:t>
      </w:r>
      <w:r w:rsidR="00E53833">
        <w:rPr>
          <w:rFonts w:ascii="Century Gothic" w:hAnsi="Century Gothic"/>
          <w:b/>
        </w:rPr>
        <w:t>Invitation t</w:t>
      </w:r>
      <w:r w:rsidR="006941EE">
        <w:rPr>
          <w:rFonts w:ascii="Century Gothic" w:hAnsi="Century Gothic"/>
          <w:b/>
        </w:rPr>
        <w:t>o Tender</w:t>
      </w:r>
      <w:r w:rsidRPr="00D45F06">
        <w:rPr>
          <w:rFonts w:ascii="Century Gothic" w:hAnsi="Century Gothic"/>
          <w:b/>
        </w:rPr>
        <w:t>:</w:t>
      </w:r>
    </w:p>
    <w:p w14:paraId="47AC8006" w14:textId="59DFDC40" w:rsidR="00855E82" w:rsidRDefault="00855E82" w:rsidP="00D45F06">
      <w:pPr>
        <w:pStyle w:val="ListParagraph"/>
        <w:numPr>
          <w:ilvl w:val="0"/>
          <w:numId w:val="3"/>
        </w:numPr>
        <w:spacing w:before="120" w:after="0" w:line="240" w:lineRule="auto"/>
        <w:ind w:left="714" w:hanging="357"/>
        <w:contextualSpacing w:val="0"/>
        <w:rPr>
          <w:rFonts w:ascii="Century Gothic" w:hAnsi="Century Gothic"/>
        </w:rPr>
      </w:pPr>
      <w:r>
        <w:rPr>
          <w:rFonts w:ascii="Century Gothic" w:hAnsi="Century Gothic"/>
        </w:rPr>
        <w:t xml:space="preserve">Latest </w:t>
      </w:r>
      <w:r w:rsidR="006646A2">
        <w:rPr>
          <w:rFonts w:ascii="Century Gothic" w:hAnsi="Century Gothic"/>
        </w:rPr>
        <w:t xml:space="preserve">audited </w:t>
      </w:r>
      <w:r>
        <w:rPr>
          <w:rFonts w:ascii="Century Gothic" w:hAnsi="Century Gothic"/>
        </w:rPr>
        <w:t>annual accounts</w:t>
      </w:r>
    </w:p>
    <w:p w14:paraId="3FB853E0" w14:textId="77777777" w:rsidR="00855E82" w:rsidRDefault="00855E82" w:rsidP="00D45F06">
      <w:pPr>
        <w:pStyle w:val="ListParagraph"/>
        <w:numPr>
          <w:ilvl w:val="0"/>
          <w:numId w:val="3"/>
        </w:numPr>
        <w:spacing w:before="120" w:after="0" w:line="240" w:lineRule="auto"/>
        <w:ind w:left="714" w:hanging="357"/>
        <w:contextualSpacing w:val="0"/>
        <w:rPr>
          <w:rFonts w:ascii="Century Gothic" w:hAnsi="Century Gothic"/>
        </w:rPr>
      </w:pPr>
      <w:r>
        <w:rPr>
          <w:rFonts w:ascii="Century Gothic" w:hAnsi="Century Gothic"/>
        </w:rPr>
        <w:t>Current insurance policies</w:t>
      </w:r>
    </w:p>
    <w:p w14:paraId="1D768F38" w14:textId="77777777" w:rsidR="00183263" w:rsidRDefault="00183263" w:rsidP="00D45F06">
      <w:pPr>
        <w:pStyle w:val="ListParagraph"/>
        <w:numPr>
          <w:ilvl w:val="0"/>
          <w:numId w:val="3"/>
        </w:numPr>
        <w:spacing w:before="120" w:after="0" w:line="240" w:lineRule="auto"/>
        <w:ind w:left="714" w:hanging="357"/>
        <w:contextualSpacing w:val="0"/>
        <w:rPr>
          <w:rFonts w:ascii="Century Gothic" w:hAnsi="Century Gothic"/>
        </w:rPr>
      </w:pPr>
      <w:r>
        <w:rPr>
          <w:rFonts w:ascii="Century Gothic" w:hAnsi="Century Gothic"/>
        </w:rPr>
        <w:t>CVs and qualification evidence for staff</w:t>
      </w:r>
    </w:p>
    <w:p w14:paraId="68611ED3" w14:textId="77777777" w:rsidR="00CD06D2" w:rsidRDefault="00CD06D2" w:rsidP="00D45F06">
      <w:pPr>
        <w:pStyle w:val="ListParagraph"/>
        <w:numPr>
          <w:ilvl w:val="0"/>
          <w:numId w:val="3"/>
        </w:numPr>
        <w:spacing w:before="120" w:after="0" w:line="240" w:lineRule="auto"/>
        <w:ind w:left="714" w:hanging="357"/>
        <w:contextualSpacing w:val="0"/>
        <w:rPr>
          <w:rFonts w:ascii="Century Gothic" w:hAnsi="Century Gothic"/>
        </w:rPr>
      </w:pPr>
      <w:r>
        <w:rPr>
          <w:rFonts w:ascii="Century Gothic" w:hAnsi="Century Gothic"/>
        </w:rPr>
        <w:t xml:space="preserve">Quality evidence from awarding bodies </w:t>
      </w:r>
    </w:p>
    <w:p w14:paraId="70E8696E" w14:textId="7BA9B8BE" w:rsidR="00D45F06" w:rsidRDefault="00D45F06" w:rsidP="00D45F06">
      <w:pPr>
        <w:pStyle w:val="ListParagraph"/>
        <w:numPr>
          <w:ilvl w:val="0"/>
          <w:numId w:val="3"/>
        </w:numPr>
        <w:spacing w:before="120" w:after="0" w:line="240" w:lineRule="auto"/>
        <w:ind w:left="714" w:hanging="357"/>
        <w:contextualSpacing w:val="0"/>
        <w:rPr>
          <w:rFonts w:ascii="Century Gothic" w:hAnsi="Century Gothic"/>
        </w:rPr>
      </w:pPr>
      <w:r>
        <w:rPr>
          <w:rFonts w:ascii="Century Gothic" w:hAnsi="Century Gothic"/>
        </w:rPr>
        <w:t xml:space="preserve">Signed </w:t>
      </w:r>
      <w:r w:rsidR="006941EE">
        <w:rPr>
          <w:rFonts w:ascii="Century Gothic" w:hAnsi="Century Gothic"/>
        </w:rPr>
        <w:t>S</w:t>
      </w:r>
      <w:r>
        <w:rPr>
          <w:rFonts w:ascii="Century Gothic" w:hAnsi="Century Gothic"/>
        </w:rPr>
        <w:t>tatement</w:t>
      </w:r>
      <w:r w:rsidR="006941EE">
        <w:rPr>
          <w:rFonts w:ascii="Century Gothic" w:hAnsi="Century Gothic"/>
        </w:rPr>
        <w:t xml:space="preserve"> of T</w:t>
      </w:r>
      <w:r w:rsidR="00925939">
        <w:rPr>
          <w:rFonts w:ascii="Century Gothic" w:hAnsi="Century Gothic"/>
        </w:rPr>
        <w:t>ender – Appendix 2</w:t>
      </w:r>
    </w:p>
    <w:p w14:paraId="39214490" w14:textId="72DE133A" w:rsidR="006646A2" w:rsidRDefault="006646A2" w:rsidP="00D45F06">
      <w:pPr>
        <w:pStyle w:val="ListParagraph"/>
        <w:numPr>
          <w:ilvl w:val="0"/>
          <w:numId w:val="3"/>
        </w:numPr>
        <w:spacing w:before="120" w:after="0" w:line="240" w:lineRule="auto"/>
        <w:ind w:left="714" w:hanging="357"/>
        <w:contextualSpacing w:val="0"/>
        <w:rPr>
          <w:rFonts w:ascii="Century Gothic" w:hAnsi="Century Gothic"/>
        </w:rPr>
      </w:pPr>
      <w:r>
        <w:rPr>
          <w:rFonts w:ascii="Century Gothic" w:hAnsi="Century Gothic"/>
        </w:rPr>
        <w:t>Business continuity plan</w:t>
      </w:r>
    </w:p>
    <w:p w14:paraId="4C9490C8" w14:textId="41BB9B9C" w:rsidR="006646A2" w:rsidRDefault="006646A2" w:rsidP="00D45F06">
      <w:pPr>
        <w:pStyle w:val="ListParagraph"/>
        <w:numPr>
          <w:ilvl w:val="0"/>
          <w:numId w:val="3"/>
        </w:numPr>
        <w:spacing w:before="120" w:after="0" w:line="240" w:lineRule="auto"/>
        <w:ind w:left="714" w:hanging="357"/>
        <w:contextualSpacing w:val="0"/>
        <w:rPr>
          <w:rFonts w:ascii="Century Gothic" w:hAnsi="Century Gothic"/>
        </w:rPr>
      </w:pPr>
      <w:r>
        <w:rPr>
          <w:rFonts w:ascii="Century Gothic" w:hAnsi="Century Gothic"/>
        </w:rPr>
        <w:t xml:space="preserve">Reserves Policy (for charities) </w:t>
      </w:r>
    </w:p>
    <w:p w14:paraId="554D98CC" w14:textId="75F0DBC0" w:rsidR="007D0DF2" w:rsidRPr="007D0DF2" w:rsidRDefault="007D0DF2" w:rsidP="00D45F06">
      <w:pPr>
        <w:pStyle w:val="ListParagraph"/>
        <w:numPr>
          <w:ilvl w:val="0"/>
          <w:numId w:val="3"/>
        </w:numPr>
        <w:spacing w:before="120" w:after="0" w:line="240" w:lineRule="auto"/>
        <w:ind w:left="714" w:hanging="357"/>
        <w:contextualSpacing w:val="0"/>
        <w:rPr>
          <w:rFonts w:ascii="Century Gothic" w:hAnsi="Century Gothic"/>
          <w:b/>
          <w:bCs/>
        </w:rPr>
      </w:pPr>
      <w:r w:rsidRPr="007D0DF2">
        <w:rPr>
          <w:rFonts w:ascii="Century Gothic" w:hAnsi="Century Gothic"/>
          <w:b/>
          <w:bCs/>
        </w:rPr>
        <w:t xml:space="preserve">Please note that additional evidence will be asked on award of the tender </w:t>
      </w:r>
    </w:p>
    <w:p w14:paraId="2DE3939E" w14:textId="77777777" w:rsidR="00794E1B" w:rsidRDefault="00794E1B" w:rsidP="00794E1B">
      <w:pPr>
        <w:pStyle w:val="ListParagraph"/>
        <w:spacing w:before="120" w:after="0" w:line="240" w:lineRule="auto"/>
        <w:ind w:left="714"/>
        <w:contextualSpacing w:val="0"/>
        <w:rPr>
          <w:rFonts w:ascii="Century Gothic" w:hAnsi="Century Gothic"/>
        </w:rPr>
      </w:pPr>
    </w:p>
    <w:p w14:paraId="643427D7" w14:textId="77777777" w:rsidR="00D45F06" w:rsidRDefault="00D45F06" w:rsidP="00D45F06">
      <w:pPr>
        <w:spacing w:before="120" w:after="0" w:line="240" w:lineRule="auto"/>
        <w:rPr>
          <w:rFonts w:ascii="Century Gothic" w:hAnsi="Century Gothic"/>
        </w:rPr>
      </w:pPr>
    </w:p>
    <w:p w14:paraId="3FE941AA" w14:textId="77777777" w:rsidR="00925939" w:rsidRDefault="00925939">
      <w:pPr>
        <w:rPr>
          <w:rFonts w:ascii="Century Gothic" w:hAnsi="Century Gothic" w:cs="Arial"/>
        </w:rPr>
      </w:pPr>
      <w:r>
        <w:rPr>
          <w:rFonts w:ascii="Century Gothic" w:hAnsi="Century Gothic" w:cs="Arial"/>
        </w:rPr>
        <w:lastRenderedPageBreak/>
        <w:br w:type="page"/>
      </w:r>
    </w:p>
    <w:p w14:paraId="7288F970" w14:textId="3A2C4D43" w:rsidR="00925939" w:rsidRDefault="00925939" w:rsidP="00925939">
      <w:pPr>
        <w:spacing w:after="0" w:line="240" w:lineRule="auto"/>
        <w:rPr>
          <w:rFonts w:ascii="Century Gothic" w:hAnsi="Century Gothic"/>
          <w:b/>
          <w:sz w:val="24"/>
          <w:szCs w:val="24"/>
        </w:rPr>
      </w:pPr>
      <w:r w:rsidRPr="00FC540B">
        <w:rPr>
          <w:rFonts w:ascii="Century Gothic" w:hAnsi="Century Gothic"/>
          <w:noProof/>
          <w:lang w:eastAsia="en-GB"/>
        </w:rPr>
        <w:lastRenderedPageBreak/>
        <w:drawing>
          <wp:anchor distT="0" distB="0" distL="114300" distR="114300" simplePos="0" relativeHeight="251658242" behindDoc="0" locked="0" layoutInCell="1" allowOverlap="1" wp14:anchorId="00C3ADC2" wp14:editId="6DED8ACB">
            <wp:simplePos x="0" y="0"/>
            <wp:positionH relativeFrom="margin">
              <wp:align>right</wp:align>
            </wp:positionH>
            <wp:positionV relativeFrom="paragraph">
              <wp:posOffset>-140446</wp:posOffset>
            </wp:positionV>
            <wp:extent cx="842838" cy="580483"/>
            <wp:effectExtent l="0" t="0" r="0" b="0"/>
            <wp:wrapNone/>
            <wp:docPr id="3" name="Picture 3" descr="\\fs2\StaffDesktops\t.bright\Desktop\ECC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StaffDesktops\t.bright\Desktop\ECC logo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838" cy="5804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sz w:val="24"/>
          <w:szCs w:val="24"/>
        </w:rPr>
        <w:t>Appendix 2</w:t>
      </w:r>
      <w:r w:rsidRPr="00D45F06">
        <w:rPr>
          <w:rFonts w:ascii="Century Gothic" w:hAnsi="Century Gothic"/>
          <w:b/>
          <w:sz w:val="24"/>
          <w:szCs w:val="24"/>
        </w:rPr>
        <w:t xml:space="preserve"> – S</w:t>
      </w:r>
      <w:r>
        <w:rPr>
          <w:rFonts w:ascii="Century Gothic" w:hAnsi="Century Gothic"/>
          <w:b/>
          <w:sz w:val="24"/>
          <w:szCs w:val="24"/>
        </w:rPr>
        <w:t>tatement of Tender</w:t>
      </w:r>
      <w:r w:rsidRPr="00D45F06">
        <w:rPr>
          <w:rFonts w:ascii="Century Gothic" w:hAnsi="Century Gothic"/>
          <w:b/>
          <w:sz w:val="24"/>
          <w:szCs w:val="24"/>
        </w:rPr>
        <w:t xml:space="preserve"> </w:t>
      </w:r>
      <w:r w:rsidR="00CD06D2">
        <w:rPr>
          <w:rFonts w:ascii="Century Gothic" w:hAnsi="Century Gothic"/>
          <w:b/>
          <w:sz w:val="24"/>
          <w:szCs w:val="24"/>
        </w:rPr>
        <w:t>202</w:t>
      </w:r>
      <w:r w:rsidR="00794E1B">
        <w:rPr>
          <w:rFonts w:ascii="Century Gothic" w:hAnsi="Century Gothic"/>
          <w:b/>
          <w:sz w:val="24"/>
          <w:szCs w:val="24"/>
        </w:rPr>
        <w:t>5</w:t>
      </w:r>
      <w:r w:rsidR="005505E2">
        <w:rPr>
          <w:rFonts w:ascii="Century Gothic" w:hAnsi="Century Gothic"/>
          <w:b/>
          <w:sz w:val="24"/>
          <w:szCs w:val="24"/>
        </w:rPr>
        <w:t>/202</w:t>
      </w:r>
      <w:r w:rsidR="00794E1B">
        <w:rPr>
          <w:rFonts w:ascii="Century Gothic" w:hAnsi="Century Gothic"/>
          <w:b/>
          <w:sz w:val="24"/>
          <w:szCs w:val="24"/>
        </w:rPr>
        <w:t>6</w:t>
      </w:r>
    </w:p>
    <w:p w14:paraId="0BD61FFF" w14:textId="77777777" w:rsidR="00925939" w:rsidRDefault="00925939" w:rsidP="00D45F06">
      <w:pPr>
        <w:rPr>
          <w:rFonts w:ascii="Century Gothic" w:hAnsi="Century Gothic" w:cs="Arial"/>
        </w:rPr>
      </w:pPr>
    </w:p>
    <w:p w14:paraId="3096391A" w14:textId="77777777" w:rsidR="00D45F06" w:rsidRPr="00CB5DD5" w:rsidRDefault="00D45F06" w:rsidP="00D45F06">
      <w:pPr>
        <w:rPr>
          <w:rFonts w:ascii="Century Gothic" w:hAnsi="Century Gothic" w:cs="Arial"/>
        </w:rPr>
      </w:pPr>
      <w:r w:rsidRPr="00CB5DD5">
        <w:rPr>
          <w:rFonts w:ascii="Century Gothic" w:hAnsi="Century Gothic" w:cs="Arial"/>
        </w:rPr>
        <w:t>To: East Coast College</w:t>
      </w:r>
    </w:p>
    <w:p w14:paraId="0E196E85" w14:textId="77777777" w:rsidR="00D45F06" w:rsidRPr="00CB5DD5" w:rsidRDefault="00D45F06" w:rsidP="00D45F06">
      <w:pPr>
        <w:rPr>
          <w:rFonts w:ascii="Century Gothic" w:hAnsi="Century Gothic" w:cs="Arial"/>
        </w:rPr>
      </w:pPr>
    </w:p>
    <w:p w14:paraId="00B19027" w14:textId="77777777" w:rsidR="00D45F06" w:rsidRPr="00CB5DD5" w:rsidRDefault="00D45F06" w:rsidP="00D45F06">
      <w:pPr>
        <w:rPr>
          <w:rFonts w:ascii="Century Gothic" w:hAnsi="Century Gothic" w:cs="Arial"/>
        </w:rPr>
      </w:pPr>
      <w:r w:rsidRPr="00CB5DD5">
        <w:rPr>
          <w:rFonts w:ascii="Century Gothic" w:hAnsi="Century Gothic" w:cs="Arial"/>
        </w:rPr>
        <w:t>Dear Sirs</w:t>
      </w:r>
    </w:p>
    <w:p w14:paraId="36F3E59C" w14:textId="77777777" w:rsidR="00D45F06" w:rsidRPr="00CB5DD5" w:rsidRDefault="00D45F06" w:rsidP="00D45F06">
      <w:pPr>
        <w:rPr>
          <w:rFonts w:ascii="Century Gothic" w:hAnsi="Century Gothic" w:cs="Arial"/>
        </w:rPr>
      </w:pPr>
    </w:p>
    <w:p w14:paraId="45BC696A" w14:textId="77777777" w:rsidR="00D45F06" w:rsidRPr="00C41622" w:rsidRDefault="00D45F06" w:rsidP="00D45F06">
      <w:pPr>
        <w:numPr>
          <w:ilvl w:val="3"/>
          <w:numId w:val="4"/>
        </w:numPr>
        <w:spacing w:after="0" w:line="240" w:lineRule="auto"/>
        <w:ind w:left="709" w:hanging="709"/>
        <w:rPr>
          <w:rFonts w:ascii="Century Gothic" w:hAnsi="Century Gothic" w:cs="Arial"/>
        </w:rPr>
      </w:pPr>
      <w:r w:rsidRPr="00CB5DD5">
        <w:rPr>
          <w:rFonts w:ascii="Century Gothic" w:hAnsi="Century Gothic" w:cs="Arial"/>
        </w:rPr>
        <w:t xml:space="preserve">I/we have read the information provided in your Invitation to Tender </w:t>
      </w:r>
      <w:r w:rsidRPr="00C41622">
        <w:rPr>
          <w:rFonts w:ascii="Century Gothic" w:hAnsi="Century Gothic" w:cs="Arial"/>
        </w:rPr>
        <w:t>and, subject to and upon the terms and conditions contained therein, I/we offer to supply the services described in the said tender documents in such manner as may be required.</w:t>
      </w:r>
    </w:p>
    <w:p w14:paraId="6824E158" w14:textId="77777777" w:rsidR="00D45F06" w:rsidRPr="00C41622" w:rsidRDefault="00D45F06" w:rsidP="00D45F06">
      <w:pPr>
        <w:ind w:left="709" w:hanging="851"/>
        <w:rPr>
          <w:rFonts w:ascii="Century Gothic" w:hAnsi="Century Gothic" w:cs="Arial"/>
        </w:rPr>
      </w:pPr>
    </w:p>
    <w:p w14:paraId="69E5E500" w14:textId="77777777" w:rsidR="00D45F06" w:rsidRPr="00C41622" w:rsidRDefault="00D45F06" w:rsidP="00D45F06">
      <w:pPr>
        <w:numPr>
          <w:ilvl w:val="3"/>
          <w:numId w:val="4"/>
        </w:numPr>
        <w:spacing w:after="0" w:line="240" w:lineRule="auto"/>
        <w:ind w:left="709" w:hanging="709"/>
        <w:rPr>
          <w:rFonts w:ascii="Century Gothic" w:hAnsi="Century Gothic" w:cs="Arial"/>
        </w:rPr>
      </w:pPr>
      <w:r w:rsidRPr="00C41622">
        <w:rPr>
          <w:rFonts w:ascii="Century Gothic" w:hAnsi="Century Gothic" w:cs="Arial"/>
        </w:rPr>
        <w:t>The prices quoted in this Tender are valid for acceptance for 90 days from the final day for submission of Tenders and I/we confirm that the terms of the Tender will remain binding upon me/us and may be accepted by you at any time before that date.</w:t>
      </w:r>
    </w:p>
    <w:p w14:paraId="338F30C1" w14:textId="77777777" w:rsidR="00D45F06" w:rsidRPr="00C41622" w:rsidRDefault="00D45F06" w:rsidP="00D45F06">
      <w:pPr>
        <w:ind w:left="709" w:hanging="851"/>
        <w:rPr>
          <w:rFonts w:ascii="Century Gothic" w:hAnsi="Century Gothic" w:cs="Arial"/>
        </w:rPr>
      </w:pPr>
    </w:p>
    <w:p w14:paraId="174E2A57" w14:textId="77777777" w:rsidR="00D45F06" w:rsidRPr="00C41622" w:rsidRDefault="00D45F06" w:rsidP="00D45F06">
      <w:pPr>
        <w:numPr>
          <w:ilvl w:val="3"/>
          <w:numId w:val="4"/>
        </w:numPr>
        <w:spacing w:after="0" w:line="240" w:lineRule="auto"/>
        <w:ind w:left="709" w:hanging="709"/>
        <w:rPr>
          <w:rFonts w:ascii="Century Gothic" w:hAnsi="Century Gothic" w:cs="Arial"/>
        </w:rPr>
      </w:pPr>
      <w:r w:rsidRPr="00C41622">
        <w:rPr>
          <w:rFonts w:ascii="Century Gothic" w:hAnsi="Century Gothic" w:cs="Arial"/>
        </w:rPr>
        <w:t>Law: 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2CBB175C" w14:textId="77777777" w:rsidR="00D45F06" w:rsidRPr="00C41622" w:rsidRDefault="00D45F06" w:rsidP="00D45F06">
      <w:pPr>
        <w:pStyle w:val="ListParagraph"/>
        <w:ind w:left="709" w:hanging="851"/>
        <w:rPr>
          <w:rFonts w:ascii="Century Gothic" w:hAnsi="Century Gothic" w:cs="Arial"/>
        </w:rPr>
      </w:pPr>
    </w:p>
    <w:p w14:paraId="207BF067" w14:textId="77777777" w:rsidR="00D45F06" w:rsidRPr="00C41622" w:rsidRDefault="00D45F06" w:rsidP="00D45F06">
      <w:pPr>
        <w:numPr>
          <w:ilvl w:val="3"/>
          <w:numId w:val="4"/>
        </w:numPr>
        <w:spacing w:after="0" w:line="240" w:lineRule="auto"/>
        <w:ind w:left="709" w:hanging="709"/>
        <w:rPr>
          <w:rFonts w:ascii="Century Gothic" w:hAnsi="Century Gothic" w:cs="Arial"/>
        </w:rPr>
      </w:pPr>
      <w:r w:rsidRPr="00C41622">
        <w:rPr>
          <w:rFonts w:ascii="Century Gothic" w:hAnsi="Century Gothic" w:cs="Arial"/>
        </w:rPr>
        <w:t>I/we agree to bear all costs incurred by me/us in connection with the preparation and submission of this Tender and to bear any further costs incurred by me/us prior to the award of any contract.</w:t>
      </w:r>
    </w:p>
    <w:p w14:paraId="4DC259F0" w14:textId="77777777" w:rsidR="00D45F06" w:rsidRPr="00C41622" w:rsidRDefault="00D45F06" w:rsidP="00D45F06">
      <w:pPr>
        <w:pStyle w:val="ListParagraph"/>
        <w:ind w:left="709" w:hanging="851"/>
        <w:rPr>
          <w:rFonts w:ascii="Century Gothic" w:hAnsi="Century Gothic" w:cs="Arial"/>
        </w:rPr>
      </w:pPr>
    </w:p>
    <w:p w14:paraId="340120B5" w14:textId="77777777" w:rsidR="00D45F06" w:rsidRPr="00C41622" w:rsidRDefault="00D45F06" w:rsidP="00D45F06">
      <w:pPr>
        <w:numPr>
          <w:ilvl w:val="3"/>
          <w:numId w:val="4"/>
        </w:numPr>
        <w:spacing w:after="0" w:line="240" w:lineRule="auto"/>
        <w:ind w:left="709" w:hanging="709"/>
        <w:rPr>
          <w:rFonts w:ascii="Century Gothic" w:hAnsi="Century Gothic" w:cs="Arial"/>
        </w:rPr>
      </w:pPr>
      <w:r w:rsidRPr="00C41622">
        <w:rPr>
          <w:rFonts w:ascii="Century Gothic" w:hAnsi="Century Gothic" w:cs="Arial"/>
        </w:rPr>
        <w:t>I/we agree that any other terms or conditions of the agreement or any general reservation which may be printed on any correspondence emanating from me/us in connection with this tender, shall not be applicable to this Tender or Contract.</w:t>
      </w:r>
    </w:p>
    <w:p w14:paraId="2A509566" w14:textId="77777777" w:rsidR="00D45F06" w:rsidRPr="00C41622" w:rsidRDefault="00D45F06" w:rsidP="00D45F06">
      <w:pPr>
        <w:rPr>
          <w:rFonts w:ascii="Century Gothic" w:hAnsi="Century Gothic" w:cs="Arial"/>
        </w:rPr>
      </w:pPr>
    </w:p>
    <w:p w14:paraId="70803521" w14:textId="77777777" w:rsidR="00D45F06" w:rsidRPr="00C41622" w:rsidRDefault="00D45F06" w:rsidP="00D45F06">
      <w:pPr>
        <w:rPr>
          <w:rFonts w:ascii="Century Gothic" w:hAnsi="Century Gothic" w:cs="Arial"/>
        </w:rPr>
      </w:pPr>
      <w:r w:rsidRPr="00C41622">
        <w:rPr>
          <w:rFonts w:ascii="Century Gothic" w:hAnsi="Century Gothic" w:cs="Arial"/>
        </w:rPr>
        <w:t>* Please delete as applicable</w:t>
      </w:r>
    </w:p>
    <w:p w14:paraId="01833358" w14:textId="77777777" w:rsidR="00D45F06" w:rsidRPr="00CB5DD5" w:rsidRDefault="00D45F06" w:rsidP="00D45F06">
      <w:pPr>
        <w:rPr>
          <w:rFonts w:ascii="Century Gothic" w:hAnsi="Century Gothic" w:cs="Arial"/>
        </w:rPr>
      </w:pPr>
    </w:p>
    <w:p w14:paraId="2155704B" w14:textId="0EA2D00B" w:rsidR="00D45F06" w:rsidRPr="00CB5DD5" w:rsidRDefault="00D45F06" w:rsidP="00D45F06">
      <w:pPr>
        <w:rPr>
          <w:rFonts w:ascii="Century Gothic" w:hAnsi="Century Gothic" w:cs="Arial"/>
        </w:rPr>
      </w:pPr>
      <w:r w:rsidRPr="00CB5DD5">
        <w:rPr>
          <w:rFonts w:ascii="Century Gothic" w:hAnsi="Century Gothic" w:cs="Arial"/>
        </w:rPr>
        <w:t>Signature:</w:t>
      </w:r>
      <w:r w:rsidRPr="00CB5DD5">
        <w:rPr>
          <w:rFonts w:ascii="Century Gothic" w:hAnsi="Century Gothic" w:cs="Arial"/>
        </w:rPr>
        <w:tab/>
      </w:r>
      <w:r w:rsidRPr="00CB5DD5">
        <w:rPr>
          <w:rFonts w:ascii="Century Gothic" w:hAnsi="Century Gothic" w:cs="Arial"/>
        </w:rPr>
        <w:tab/>
      </w:r>
      <w:r w:rsidRPr="00CB5DD5">
        <w:rPr>
          <w:rFonts w:ascii="Century Gothic" w:hAnsi="Century Gothic" w:cs="Arial"/>
        </w:rPr>
        <w:tab/>
      </w:r>
      <w:r w:rsidRPr="00CB5DD5">
        <w:rPr>
          <w:rFonts w:ascii="Century Gothic" w:hAnsi="Century Gothic" w:cs="Arial"/>
        </w:rPr>
        <w:tab/>
        <w:t xml:space="preserve"> </w:t>
      </w:r>
      <w:r w:rsidRPr="00CB5DD5">
        <w:rPr>
          <w:rFonts w:ascii="Century Gothic" w:hAnsi="Century Gothic" w:cs="Arial"/>
        </w:rPr>
        <w:tab/>
      </w:r>
    </w:p>
    <w:p w14:paraId="65C19EFF" w14:textId="754EF1D4" w:rsidR="00D45F06" w:rsidRPr="00CB5DD5" w:rsidRDefault="00D45F06" w:rsidP="00D45F06">
      <w:pPr>
        <w:rPr>
          <w:rFonts w:ascii="Century Gothic" w:hAnsi="Century Gothic" w:cs="Arial"/>
        </w:rPr>
      </w:pPr>
      <w:r w:rsidRPr="00CB5DD5">
        <w:rPr>
          <w:rFonts w:ascii="Century Gothic" w:hAnsi="Century Gothic" w:cs="Arial"/>
        </w:rPr>
        <w:t xml:space="preserve">Print Full Name: </w:t>
      </w:r>
      <w:r w:rsidR="005D146A">
        <w:rPr>
          <w:rFonts w:ascii="Century Gothic" w:hAnsi="Century Gothic" w:cs="Arial"/>
        </w:rPr>
        <w:tab/>
      </w:r>
    </w:p>
    <w:p w14:paraId="4FFD995B" w14:textId="1713FFF4" w:rsidR="00D45F06" w:rsidRPr="00CB5DD5" w:rsidRDefault="00D45F06" w:rsidP="00D45F06">
      <w:pPr>
        <w:rPr>
          <w:rFonts w:ascii="Century Gothic" w:hAnsi="Century Gothic" w:cs="Arial"/>
        </w:rPr>
      </w:pPr>
      <w:r w:rsidRPr="00CB5DD5">
        <w:rPr>
          <w:rFonts w:ascii="Century Gothic" w:hAnsi="Century Gothic" w:cs="Arial"/>
        </w:rPr>
        <w:t>Date:</w:t>
      </w:r>
      <w:r w:rsidRPr="00CB5DD5">
        <w:rPr>
          <w:rFonts w:ascii="Century Gothic" w:hAnsi="Century Gothic" w:cs="Arial"/>
        </w:rPr>
        <w:tab/>
      </w:r>
      <w:r w:rsidR="005D146A">
        <w:rPr>
          <w:rFonts w:ascii="Century Gothic" w:hAnsi="Century Gothic" w:cs="Arial"/>
        </w:rPr>
        <w:tab/>
      </w:r>
      <w:r w:rsidR="005D146A">
        <w:rPr>
          <w:rFonts w:ascii="Century Gothic" w:hAnsi="Century Gothic" w:cs="Arial"/>
        </w:rPr>
        <w:tab/>
      </w:r>
    </w:p>
    <w:p w14:paraId="4EF10BD4" w14:textId="02A4DC22" w:rsidR="00D45F06" w:rsidRPr="00CB5DD5" w:rsidRDefault="00D45F06" w:rsidP="00D45F06">
      <w:pPr>
        <w:rPr>
          <w:rFonts w:ascii="Century Gothic" w:hAnsi="Century Gothic" w:cs="Arial"/>
        </w:rPr>
      </w:pPr>
      <w:r w:rsidRPr="00CB5DD5">
        <w:rPr>
          <w:rFonts w:ascii="Century Gothic" w:hAnsi="Century Gothic" w:cs="Arial"/>
        </w:rPr>
        <w:t>In the capacity of:</w:t>
      </w:r>
      <w:r w:rsidR="003059DB">
        <w:rPr>
          <w:rFonts w:ascii="Century Gothic" w:hAnsi="Century Gothic" w:cs="Arial"/>
        </w:rPr>
        <w:t xml:space="preserve"> </w:t>
      </w:r>
    </w:p>
    <w:p w14:paraId="105FA0B5" w14:textId="77777777" w:rsidR="00D45F06" w:rsidRPr="00CB5DD5" w:rsidRDefault="00D45F06" w:rsidP="00D45F06">
      <w:pPr>
        <w:rPr>
          <w:rFonts w:ascii="Century Gothic" w:hAnsi="Century Gothic" w:cs="Arial"/>
        </w:rPr>
      </w:pPr>
      <w:r w:rsidRPr="00CB5DD5">
        <w:rPr>
          <w:rFonts w:ascii="Century Gothic" w:hAnsi="Century Gothic" w:cs="Arial"/>
          <w:i/>
        </w:rPr>
        <w:t xml:space="preserve">(Please state official position, </w:t>
      </w:r>
      <w:proofErr w:type="gramStart"/>
      <w:r w:rsidRPr="00CB5DD5">
        <w:rPr>
          <w:rFonts w:ascii="Century Gothic" w:hAnsi="Century Gothic" w:cs="Arial"/>
          <w:i/>
        </w:rPr>
        <w:t>e</w:t>
      </w:r>
      <w:r>
        <w:rPr>
          <w:rFonts w:ascii="Century Gothic" w:hAnsi="Century Gothic" w:cs="Arial"/>
          <w:i/>
        </w:rPr>
        <w:t>.</w:t>
      </w:r>
      <w:r w:rsidRPr="00CB5DD5">
        <w:rPr>
          <w:rFonts w:ascii="Century Gothic" w:hAnsi="Century Gothic" w:cs="Arial"/>
          <w:i/>
        </w:rPr>
        <w:t>g.</w:t>
      </w:r>
      <w:proofErr w:type="gramEnd"/>
      <w:r w:rsidRPr="00CB5DD5">
        <w:rPr>
          <w:rFonts w:ascii="Century Gothic" w:hAnsi="Century Gothic" w:cs="Arial"/>
          <w:i/>
        </w:rPr>
        <w:t xml:space="preserve"> Director, Partner, etc.) </w:t>
      </w:r>
      <w:r w:rsidRPr="00CB5DD5">
        <w:rPr>
          <w:rFonts w:ascii="Century Gothic" w:hAnsi="Century Gothic" w:cs="Arial"/>
        </w:rPr>
        <w:t>being a person duly authorised to sign tenders on behalf of:</w:t>
      </w:r>
    </w:p>
    <w:p w14:paraId="3FA4E751" w14:textId="50204FDE" w:rsidR="00D45F06" w:rsidRPr="00CB5DD5" w:rsidRDefault="00925939" w:rsidP="00AF309E">
      <w:pPr>
        <w:tabs>
          <w:tab w:val="left" w:pos="720"/>
          <w:tab w:val="left" w:pos="1440"/>
          <w:tab w:val="left" w:pos="2160"/>
          <w:tab w:val="left" w:pos="2604"/>
        </w:tabs>
        <w:rPr>
          <w:rFonts w:ascii="Century Gothic" w:hAnsi="Century Gothic" w:cs="Arial"/>
        </w:rPr>
      </w:pPr>
      <w:r>
        <w:rPr>
          <w:rFonts w:ascii="Century Gothic" w:hAnsi="Century Gothic" w:cs="Arial"/>
        </w:rPr>
        <w:t>Organisation</w:t>
      </w:r>
      <w:r w:rsidR="00D45F06" w:rsidRPr="00CB5DD5">
        <w:rPr>
          <w:rFonts w:ascii="Century Gothic" w:hAnsi="Century Gothic" w:cs="Arial"/>
        </w:rPr>
        <w:t xml:space="preserve"> Name:</w:t>
      </w:r>
      <w:r w:rsidR="00D45F06" w:rsidRPr="00CB5DD5">
        <w:rPr>
          <w:rFonts w:ascii="Century Gothic" w:hAnsi="Century Gothic" w:cs="Arial"/>
        </w:rPr>
        <w:tab/>
      </w:r>
      <w:r w:rsidR="00AF309E">
        <w:rPr>
          <w:rFonts w:ascii="Century Gothic" w:hAnsi="Century Gothic" w:cs="Arial"/>
        </w:rPr>
        <w:tab/>
        <w:t xml:space="preserve"> </w:t>
      </w:r>
      <w:r w:rsidR="00AF309E">
        <w:rPr>
          <w:rFonts w:ascii="Century Gothic" w:hAnsi="Century Gothic" w:cs="Arial"/>
        </w:rPr>
        <w:tab/>
      </w:r>
    </w:p>
    <w:p w14:paraId="193E8387" w14:textId="70A04913" w:rsidR="00AF309E" w:rsidRPr="00EE6DB1" w:rsidRDefault="00D45F06" w:rsidP="00AF309E">
      <w:pPr>
        <w:spacing w:before="120" w:after="120"/>
        <w:rPr>
          <w:rFonts w:cstheme="minorHAnsi"/>
        </w:rPr>
      </w:pPr>
      <w:r w:rsidRPr="00CB5DD5">
        <w:rPr>
          <w:rFonts w:ascii="Century Gothic" w:hAnsi="Century Gothic" w:cs="Arial"/>
        </w:rPr>
        <w:t>Address:</w:t>
      </w:r>
      <w:r w:rsidR="00AF309E">
        <w:rPr>
          <w:rFonts w:ascii="Century Gothic" w:hAnsi="Century Gothic" w:cs="Arial"/>
        </w:rPr>
        <w:tab/>
      </w:r>
      <w:r w:rsidR="00AF309E">
        <w:rPr>
          <w:rFonts w:ascii="Century Gothic" w:hAnsi="Century Gothic" w:cs="Arial"/>
        </w:rPr>
        <w:tab/>
      </w:r>
      <w:r w:rsidR="00AF309E">
        <w:rPr>
          <w:rFonts w:ascii="Century Gothic" w:hAnsi="Century Gothic" w:cs="Arial"/>
        </w:rPr>
        <w:tab/>
      </w:r>
    </w:p>
    <w:p w14:paraId="344AE4AB" w14:textId="0E489016" w:rsidR="00D45F06" w:rsidRPr="00CB5DD5" w:rsidRDefault="00D45F06" w:rsidP="00D45F06">
      <w:pPr>
        <w:rPr>
          <w:rFonts w:ascii="Century Gothic" w:hAnsi="Century Gothic" w:cs="Arial"/>
        </w:rPr>
      </w:pPr>
    </w:p>
    <w:p w14:paraId="38335095" w14:textId="77777777" w:rsidR="00661D41" w:rsidRDefault="00661D41">
      <w:pPr>
        <w:rPr>
          <w:rFonts w:ascii="Century Gothic" w:hAnsi="Century Gothic"/>
        </w:rPr>
      </w:pPr>
      <w:r>
        <w:rPr>
          <w:rFonts w:ascii="Century Gothic" w:hAnsi="Century Gothic"/>
        </w:rPr>
        <w:br w:type="page"/>
      </w:r>
    </w:p>
    <w:p w14:paraId="23A74384" w14:textId="6E201BE6" w:rsidR="00661D41" w:rsidRDefault="00661D41" w:rsidP="00661D41">
      <w:pPr>
        <w:spacing w:after="0" w:line="240" w:lineRule="auto"/>
        <w:rPr>
          <w:rFonts w:ascii="Century Gothic" w:hAnsi="Century Gothic"/>
          <w:b/>
          <w:sz w:val="24"/>
          <w:szCs w:val="24"/>
        </w:rPr>
      </w:pPr>
      <w:r w:rsidRPr="00FC540B">
        <w:rPr>
          <w:rFonts w:ascii="Century Gothic" w:hAnsi="Century Gothic"/>
          <w:noProof/>
          <w:lang w:eastAsia="en-GB"/>
        </w:rPr>
        <w:lastRenderedPageBreak/>
        <w:drawing>
          <wp:anchor distT="0" distB="0" distL="114300" distR="114300" simplePos="0" relativeHeight="251658243" behindDoc="0" locked="0" layoutInCell="1" allowOverlap="1" wp14:anchorId="4CF28B1A" wp14:editId="0FCF457B">
            <wp:simplePos x="0" y="0"/>
            <wp:positionH relativeFrom="margin">
              <wp:align>right</wp:align>
            </wp:positionH>
            <wp:positionV relativeFrom="paragraph">
              <wp:posOffset>-140446</wp:posOffset>
            </wp:positionV>
            <wp:extent cx="842838" cy="580483"/>
            <wp:effectExtent l="0" t="0" r="0" b="0"/>
            <wp:wrapNone/>
            <wp:docPr id="4" name="Picture 4" descr="\\fs2\StaffDesktops\t.bright\Desktop\ECC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StaffDesktops\t.bright\Desktop\ECC logo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838" cy="5804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sz w:val="24"/>
          <w:szCs w:val="24"/>
        </w:rPr>
        <w:t>Appendix 3</w:t>
      </w:r>
      <w:r w:rsidRPr="00D45F06">
        <w:rPr>
          <w:rFonts w:ascii="Century Gothic" w:hAnsi="Century Gothic"/>
          <w:b/>
          <w:sz w:val="24"/>
          <w:szCs w:val="24"/>
        </w:rPr>
        <w:t xml:space="preserve"> – </w:t>
      </w:r>
      <w:r>
        <w:rPr>
          <w:rFonts w:ascii="Century Gothic" w:hAnsi="Century Gothic"/>
          <w:b/>
          <w:sz w:val="24"/>
          <w:szCs w:val="24"/>
        </w:rPr>
        <w:t>Conditions of Tender</w:t>
      </w:r>
      <w:r w:rsidRPr="00D45F06">
        <w:rPr>
          <w:rFonts w:ascii="Century Gothic" w:hAnsi="Century Gothic"/>
          <w:b/>
          <w:sz w:val="24"/>
          <w:szCs w:val="24"/>
        </w:rPr>
        <w:t xml:space="preserve"> </w:t>
      </w:r>
      <w:r w:rsidR="00CD06D2">
        <w:rPr>
          <w:rFonts w:ascii="Century Gothic" w:hAnsi="Century Gothic"/>
          <w:b/>
          <w:sz w:val="24"/>
          <w:szCs w:val="24"/>
        </w:rPr>
        <w:t>202</w:t>
      </w:r>
      <w:r w:rsidR="00794E1B">
        <w:rPr>
          <w:rFonts w:ascii="Century Gothic" w:hAnsi="Century Gothic"/>
          <w:b/>
          <w:sz w:val="24"/>
          <w:szCs w:val="24"/>
        </w:rPr>
        <w:t>5</w:t>
      </w:r>
      <w:r w:rsidR="005505E2">
        <w:rPr>
          <w:rFonts w:ascii="Century Gothic" w:hAnsi="Century Gothic"/>
          <w:b/>
          <w:sz w:val="24"/>
          <w:szCs w:val="24"/>
        </w:rPr>
        <w:t>/2</w:t>
      </w:r>
      <w:r w:rsidR="00794E1B">
        <w:rPr>
          <w:rFonts w:ascii="Century Gothic" w:hAnsi="Century Gothic"/>
          <w:b/>
          <w:sz w:val="24"/>
          <w:szCs w:val="24"/>
        </w:rPr>
        <w:t>6</w:t>
      </w:r>
    </w:p>
    <w:p w14:paraId="62D5DB32" w14:textId="77777777" w:rsidR="00661D41" w:rsidRDefault="00661D41" w:rsidP="00661D41">
      <w:pPr>
        <w:spacing w:after="0" w:line="240" w:lineRule="auto"/>
        <w:rPr>
          <w:rFonts w:ascii="Century Gothic" w:hAnsi="Century Gothic"/>
          <w:b/>
          <w:sz w:val="24"/>
          <w:szCs w:val="24"/>
        </w:rPr>
      </w:pPr>
    </w:p>
    <w:p w14:paraId="4146E880" w14:textId="77777777" w:rsidR="00661D41" w:rsidRDefault="00661D41" w:rsidP="00661D41">
      <w:pPr>
        <w:spacing w:after="0" w:line="240" w:lineRule="auto"/>
        <w:rPr>
          <w:rFonts w:ascii="Century Gothic" w:hAnsi="Century Gothic"/>
          <w:b/>
          <w:sz w:val="24"/>
          <w:szCs w:val="24"/>
        </w:rPr>
      </w:pPr>
    </w:p>
    <w:p w14:paraId="58526073" w14:textId="77777777" w:rsidR="00661D41" w:rsidRPr="00C566DF" w:rsidRDefault="00661D41" w:rsidP="00661D41">
      <w:pPr>
        <w:pStyle w:val="Heading2"/>
        <w:numPr>
          <w:ilvl w:val="0"/>
          <w:numId w:val="6"/>
        </w:numPr>
        <w:spacing w:before="120"/>
        <w:ind w:left="709" w:hanging="709"/>
        <w:jc w:val="left"/>
        <w:rPr>
          <w:rFonts w:ascii="Century Gothic" w:hAnsi="Century Gothic" w:cs="Arial"/>
          <w:sz w:val="22"/>
          <w:szCs w:val="22"/>
        </w:rPr>
      </w:pPr>
      <w:r>
        <w:rPr>
          <w:rFonts w:ascii="Century Gothic" w:hAnsi="Century Gothic" w:cs="Arial"/>
          <w:sz w:val="22"/>
          <w:szCs w:val="22"/>
        </w:rPr>
        <w:t>Enquiries C</w:t>
      </w:r>
      <w:r w:rsidRPr="00C566DF">
        <w:rPr>
          <w:rFonts w:ascii="Century Gothic" w:hAnsi="Century Gothic" w:cs="Arial"/>
          <w:sz w:val="22"/>
          <w:szCs w:val="22"/>
        </w:rPr>
        <w:t>oncerning the Tender</w:t>
      </w:r>
    </w:p>
    <w:p w14:paraId="6B4AEF78" w14:textId="77777777" w:rsidR="00661D41" w:rsidRPr="00CB5DD5" w:rsidRDefault="00661D41" w:rsidP="00661D41">
      <w:pPr>
        <w:spacing w:before="120" w:after="0" w:line="240" w:lineRule="auto"/>
        <w:ind w:left="709"/>
        <w:rPr>
          <w:rFonts w:ascii="Century Gothic" w:hAnsi="Century Gothic" w:cs="Arial"/>
        </w:rPr>
      </w:pPr>
      <w:r w:rsidRPr="00CB5DD5">
        <w:rPr>
          <w:rFonts w:ascii="Century Gothic" w:hAnsi="Century Gothic" w:cs="Arial"/>
        </w:rPr>
        <w:t xml:space="preserve">All communications in connection with this Tender or the Invitation to Tender should be made via email to the </w:t>
      </w:r>
      <w:r>
        <w:rPr>
          <w:rFonts w:ascii="Century Gothic" w:hAnsi="Century Gothic" w:cs="Arial"/>
        </w:rPr>
        <w:t>Assistant Principal, Rachel Bunn</w:t>
      </w:r>
      <w:r w:rsidRPr="00CB5DD5">
        <w:rPr>
          <w:rFonts w:ascii="Century Gothic" w:hAnsi="Century Gothic" w:cs="Arial"/>
        </w:rPr>
        <w:t xml:space="preserve">: </w:t>
      </w:r>
    </w:p>
    <w:p w14:paraId="34D1CAAD" w14:textId="77777777" w:rsidR="00661D41" w:rsidRDefault="006165FD" w:rsidP="00661D41">
      <w:pPr>
        <w:spacing w:before="120" w:after="0" w:line="240" w:lineRule="auto"/>
        <w:ind w:left="709"/>
        <w:rPr>
          <w:rFonts w:ascii="Century Gothic" w:hAnsi="Century Gothic" w:cs="Arial"/>
          <w:b/>
        </w:rPr>
      </w:pPr>
      <w:hyperlink r:id="rId13" w:history="1">
        <w:r w:rsidR="00661D41" w:rsidRPr="00EB4474">
          <w:rPr>
            <w:rStyle w:val="Hyperlink"/>
            <w:rFonts w:ascii="Century Gothic" w:hAnsi="Century Gothic" w:cs="Arial"/>
            <w:b/>
          </w:rPr>
          <w:t>r.bunn@eastcoast.ac.uk</w:t>
        </w:r>
      </w:hyperlink>
    </w:p>
    <w:p w14:paraId="6F5920E4" w14:textId="77777777" w:rsidR="00661D41" w:rsidRPr="00CB5DD5" w:rsidRDefault="00661D41" w:rsidP="00661D41">
      <w:pPr>
        <w:spacing w:before="120" w:after="0" w:line="240" w:lineRule="auto"/>
        <w:ind w:left="709"/>
        <w:rPr>
          <w:rFonts w:ascii="Century Gothic" w:hAnsi="Century Gothic" w:cs="Arial"/>
        </w:rPr>
      </w:pPr>
      <w:r w:rsidRPr="00CB5DD5">
        <w:rPr>
          <w:rFonts w:ascii="Century Gothic" w:hAnsi="Century Gothic" w:cs="Arial"/>
        </w:rPr>
        <w:t xml:space="preserve">Unless the query clearly contains the Tenderer’s intellectual property, the response by the College as well as the nature of the query will be notified to all Tenderers, without disclosing the name of the Tenderer who initiated the query.  </w:t>
      </w:r>
    </w:p>
    <w:p w14:paraId="494FC70F" w14:textId="77777777" w:rsidR="00661D41" w:rsidRPr="00661D41" w:rsidRDefault="00661D41" w:rsidP="00661D41">
      <w:pPr>
        <w:numPr>
          <w:ilvl w:val="0"/>
          <w:numId w:val="6"/>
        </w:numPr>
        <w:spacing w:before="120" w:after="0" w:line="240" w:lineRule="auto"/>
        <w:ind w:left="709" w:hanging="709"/>
        <w:rPr>
          <w:rFonts w:ascii="Century Gothic" w:hAnsi="Century Gothic" w:cs="Arial"/>
        </w:rPr>
      </w:pPr>
      <w:r w:rsidRPr="00CB5DD5">
        <w:rPr>
          <w:rFonts w:ascii="Century Gothic" w:hAnsi="Century Gothic" w:cs="Arial"/>
          <w:b/>
        </w:rPr>
        <w:t>Independent Tender</w:t>
      </w:r>
    </w:p>
    <w:p w14:paraId="14946A96" w14:textId="77777777" w:rsidR="00661D41" w:rsidRPr="00CB5DD5" w:rsidRDefault="00661D41" w:rsidP="00661D41">
      <w:pPr>
        <w:spacing w:before="120" w:after="0" w:line="240" w:lineRule="auto"/>
        <w:ind w:left="709"/>
        <w:rPr>
          <w:rFonts w:ascii="Century Gothic" w:hAnsi="Century Gothic" w:cs="Arial"/>
        </w:rPr>
      </w:pPr>
      <w:r w:rsidRPr="00CB5DD5">
        <w:rPr>
          <w:rFonts w:ascii="Century Gothic" w:hAnsi="Century Gothic" w:cs="Arial"/>
        </w:rPr>
        <w:t>By submission of a Tender, the Tenderer warrants that:</w:t>
      </w:r>
    </w:p>
    <w:p w14:paraId="1CC9B1B2" w14:textId="77777777" w:rsidR="00661D41" w:rsidRPr="00CB5DD5" w:rsidRDefault="00661D41" w:rsidP="00661D41">
      <w:pPr>
        <w:tabs>
          <w:tab w:val="left" w:pos="-1440"/>
        </w:tabs>
        <w:spacing w:before="120" w:after="0" w:line="240" w:lineRule="auto"/>
        <w:ind w:left="1418" w:hanging="447"/>
        <w:rPr>
          <w:rFonts w:ascii="Century Gothic" w:hAnsi="Century Gothic" w:cs="Arial"/>
        </w:rPr>
      </w:pPr>
      <w:r w:rsidRPr="00CB5DD5">
        <w:rPr>
          <w:rFonts w:ascii="Century Gothic" w:hAnsi="Century Gothic" w:cs="Arial"/>
        </w:rPr>
        <w:t>(a)</w:t>
      </w:r>
      <w:r w:rsidRPr="00CB5DD5">
        <w:rPr>
          <w:rFonts w:ascii="Century Gothic" w:hAnsi="Century Gothic" w:cs="Arial"/>
          <w:b/>
        </w:rPr>
        <w:tab/>
      </w:r>
      <w:r w:rsidRPr="00CB5DD5">
        <w:rPr>
          <w:rFonts w:ascii="Century Gothic" w:hAnsi="Century Gothic" w:cs="Arial"/>
        </w:rPr>
        <w:t>The prices in the Tender have been arrived at independently, without consultation, communication, agreement or understanding for the purpose of restricting competition, as to any matter relating to such prices, with any other Tenderer or with any competitor.</w:t>
      </w:r>
    </w:p>
    <w:p w14:paraId="00B2ABCC" w14:textId="77777777" w:rsidR="00661D41" w:rsidRPr="00CB5DD5" w:rsidRDefault="00661D41" w:rsidP="00661D41">
      <w:pPr>
        <w:tabs>
          <w:tab w:val="left" w:pos="-1440"/>
        </w:tabs>
        <w:spacing w:before="120" w:after="0" w:line="240" w:lineRule="auto"/>
        <w:ind w:left="1418" w:hanging="447"/>
        <w:rPr>
          <w:rFonts w:ascii="Century Gothic" w:hAnsi="Century Gothic" w:cs="Arial"/>
        </w:rPr>
      </w:pPr>
      <w:r w:rsidRPr="00CB5DD5">
        <w:rPr>
          <w:rFonts w:ascii="Century Gothic" w:hAnsi="Century Gothic" w:cs="Arial"/>
        </w:rPr>
        <w:t>(b)</w:t>
      </w:r>
      <w:r w:rsidRPr="00CB5DD5">
        <w:rPr>
          <w:rFonts w:ascii="Century Gothic" w:hAnsi="Century Gothic" w:cs="Arial"/>
        </w:rPr>
        <w:tab/>
        <w:t>Unless otherwise required by law, the prices which have been quoted in the Tender have not knowingly been disclosed by the tenderer, directly or indirectly, to any other Tenderer or competitor, nor will they be so disclosed.</w:t>
      </w:r>
    </w:p>
    <w:p w14:paraId="61755213" w14:textId="77777777" w:rsidR="00661D41" w:rsidRPr="00CB5DD5" w:rsidRDefault="00661D41" w:rsidP="00661D41">
      <w:pPr>
        <w:tabs>
          <w:tab w:val="left" w:pos="-1440"/>
        </w:tabs>
        <w:spacing w:before="120" w:after="0" w:line="240" w:lineRule="auto"/>
        <w:ind w:left="1418" w:hanging="447"/>
        <w:rPr>
          <w:rFonts w:ascii="Century Gothic" w:hAnsi="Century Gothic" w:cs="Arial"/>
        </w:rPr>
      </w:pPr>
      <w:r w:rsidRPr="00CB5DD5">
        <w:rPr>
          <w:rFonts w:ascii="Century Gothic" w:hAnsi="Century Gothic" w:cs="Arial"/>
        </w:rPr>
        <w:t>(c)</w:t>
      </w:r>
      <w:r w:rsidRPr="00CB5DD5">
        <w:rPr>
          <w:rFonts w:ascii="Century Gothic" w:hAnsi="Century Gothic" w:cs="Arial"/>
        </w:rPr>
        <w:tab/>
        <w:t>No attempt has been made or will be made by the Tenderer to induce any other person or firm to submit or not to submit a Tender for the purp</w:t>
      </w:r>
      <w:r>
        <w:rPr>
          <w:rFonts w:ascii="Century Gothic" w:hAnsi="Century Gothic" w:cs="Arial"/>
        </w:rPr>
        <w:t>ose of restricting competition.</w:t>
      </w:r>
    </w:p>
    <w:p w14:paraId="6CDAA01B" w14:textId="77777777" w:rsidR="00661D41" w:rsidRPr="00661D41" w:rsidRDefault="00661D41" w:rsidP="00661D41">
      <w:pPr>
        <w:numPr>
          <w:ilvl w:val="0"/>
          <w:numId w:val="6"/>
        </w:numPr>
        <w:spacing w:before="120" w:after="0" w:line="240" w:lineRule="auto"/>
        <w:ind w:left="709" w:hanging="709"/>
        <w:rPr>
          <w:rFonts w:ascii="Century Gothic" w:hAnsi="Century Gothic" w:cs="Arial"/>
          <w:b/>
        </w:rPr>
      </w:pPr>
      <w:r w:rsidRPr="00CB5DD5">
        <w:rPr>
          <w:rFonts w:ascii="Century Gothic" w:hAnsi="Century Gothic" w:cs="Arial"/>
          <w:b/>
        </w:rPr>
        <w:t>Preparation of Tender</w:t>
      </w:r>
    </w:p>
    <w:p w14:paraId="1A3D251F" w14:textId="77777777" w:rsidR="00661D41" w:rsidRPr="00661D41" w:rsidRDefault="00661D41" w:rsidP="00661D41">
      <w:pPr>
        <w:numPr>
          <w:ilvl w:val="1"/>
          <w:numId w:val="6"/>
        </w:numPr>
        <w:spacing w:before="120" w:after="0" w:line="240" w:lineRule="auto"/>
        <w:ind w:left="709" w:hanging="720"/>
        <w:rPr>
          <w:rFonts w:ascii="Century Gothic" w:hAnsi="Century Gothic" w:cs="Arial"/>
        </w:rPr>
      </w:pPr>
      <w:r w:rsidRPr="00CB5DD5">
        <w:rPr>
          <w:rFonts w:ascii="Century Gothic" w:hAnsi="Century Gothic" w:cs="Arial"/>
          <w:b/>
        </w:rPr>
        <w:t>Cost of Tender</w:t>
      </w:r>
    </w:p>
    <w:p w14:paraId="36C5CCBC" w14:textId="77777777" w:rsidR="00661D41" w:rsidRDefault="00661D41" w:rsidP="00661D41">
      <w:pPr>
        <w:spacing w:before="120" w:after="0" w:line="240" w:lineRule="auto"/>
        <w:ind w:left="709"/>
        <w:rPr>
          <w:rFonts w:ascii="Century Gothic" w:hAnsi="Century Gothic" w:cs="Arial"/>
        </w:rPr>
      </w:pPr>
      <w:r w:rsidRPr="00CB5DD5">
        <w:rPr>
          <w:rFonts w:ascii="Century Gothic" w:hAnsi="Century Gothic" w:cs="Arial"/>
        </w:rPr>
        <w:t>The College will not be responsible for any costs or expenses incurred by the Tenderer in connection with the preparation or delivery or in the evaluation of the Tender.</w:t>
      </w:r>
    </w:p>
    <w:p w14:paraId="5D4C2428" w14:textId="77777777" w:rsidR="00661D41" w:rsidRPr="00661D41" w:rsidRDefault="00661D41" w:rsidP="00661D41">
      <w:pPr>
        <w:numPr>
          <w:ilvl w:val="1"/>
          <w:numId w:val="6"/>
        </w:numPr>
        <w:spacing w:before="120" w:after="0" w:line="240" w:lineRule="auto"/>
        <w:ind w:left="709" w:hanging="720"/>
        <w:rPr>
          <w:rFonts w:ascii="Century Gothic" w:hAnsi="Century Gothic" w:cs="Arial"/>
        </w:rPr>
      </w:pPr>
      <w:r w:rsidRPr="00CB5DD5">
        <w:rPr>
          <w:rFonts w:ascii="Century Gothic" w:hAnsi="Century Gothic" w:cs="Arial"/>
          <w:b/>
        </w:rPr>
        <w:t>Validity Period of Tender</w:t>
      </w:r>
    </w:p>
    <w:p w14:paraId="4D1406E5" w14:textId="77777777" w:rsidR="00661D41" w:rsidRPr="00CB5DD5" w:rsidRDefault="00661D41" w:rsidP="00661D41">
      <w:pPr>
        <w:spacing w:before="120" w:after="0" w:line="240" w:lineRule="auto"/>
        <w:ind w:left="709"/>
        <w:rPr>
          <w:rFonts w:ascii="Century Gothic" w:hAnsi="Century Gothic" w:cs="Arial"/>
        </w:rPr>
      </w:pPr>
      <w:r w:rsidRPr="00CB5DD5">
        <w:rPr>
          <w:rFonts w:ascii="Century Gothic" w:hAnsi="Century Gothic" w:cs="Arial"/>
        </w:rPr>
        <w:t>All details of the Tender, including prices and rates, are to remain valid to acceptance for 90 days from the tender delivery date.</w:t>
      </w:r>
    </w:p>
    <w:p w14:paraId="14595C68" w14:textId="77777777" w:rsidR="00661D41" w:rsidRPr="00661D41" w:rsidRDefault="00661D41" w:rsidP="00661D41">
      <w:pPr>
        <w:pStyle w:val="ListParagraph"/>
        <w:numPr>
          <w:ilvl w:val="0"/>
          <w:numId w:val="5"/>
        </w:numPr>
        <w:spacing w:before="120" w:after="0" w:line="240" w:lineRule="auto"/>
        <w:ind w:left="709" w:hanging="720"/>
        <w:contextualSpacing w:val="0"/>
        <w:rPr>
          <w:rFonts w:ascii="Century Gothic" w:hAnsi="Century Gothic" w:cs="Arial"/>
          <w:b/>
          <w:vanish/>
        </w:rPr>
      </w:pPr>
    </w:p>
    <w:p w14:paraId="433AB3C2" w14:textId="77777777" w:rsidR="00661D41" w:rsidRPr="00661D41" w:rsidRDefault="00661D41" w:rsidP="00661D41">
      <w:pPr>
        <w:pStyle w:val="ListParagraph"/>
        <w:numPr>
          <w:ilvl w:val="0"/>
          <w:numId w:val="5"/>
        </w:numPr>
        <w:spacing w:before="120" w:after="0" w:line="240" w:lineRule="auto"/>
        <w:ind w:left="709" w:hanging="720"/>
        <w:contextualSpacing w:val="0"/>
        <w:rPr>
          <w:rFonts w:ascii="Century Gothic" w:hAnsi="Century Gothic" w:cs="Arial"/>
          <w:b/>
          <w:vanish/>
        </w:rPr>
      </w:pPr>
    </w:p>
    <w:p w14:paraId="3E0EF93C" w14:textId="77777777" w:rsidR="00661D41" w:rsidRPr="00661D41" w:rsidRDefault="00661D41" w:rsidP="00661D41">
      <w:pPr>
        <w:pStyle w:val="ListParagraph"/>
        <w:numPr>
          <w:ilvl w:val="0"/>
          <w:numId w:val="5"/>
        </w:numPr>
        <w:spacing w:before="120" w:after="0" w:line="240" w:lineRule="auto"/>
        <w:ind w:left="709" w:hanging="720"/>
        <w:contextualSpacing w:val="0"/>
        <w:rPr>
          <w:rFonts w:ascii="Century Gothic" w:hAnsi="Century Gothic" w:cs="Arial"/>
          <w:b/>
          <w:vanish/>
        </w:rPr>
      </w:pPr>
    </w:p>
    <w:p w14:paraId="5F7C51E1" w14:textId="77777777" w:rsidR="00661D41" w:rsidRPr="00661D41" w:rsidRDefault="00661D41" w:rsidP="00661D41">
      <w:pPr>
        <w:numPr>
          <w:ilvl w:val="0"/>
          <w:numId w:val="5"/>
        </w:numPr>
        <w:spacing w:before="120" w:after="0" w:line="240" w:lineRule="auto"/>
        <w:ind w:left="709" w:hanging="720"/>
        <w:rPr>
          <w:rFonts w:ascii="Century Gothic" w:hAnsi="Century Gothic" w:cs="Arial"/>
          <w:b/>
        </w:rPr>
      </w:pPr>
      <w:r w:rsidRPr="00CB5DD5">
        <w:rPr>
          <w:rFonts w:ascii="Century Gothic" w:hAnsi="Century Gothic" w:cs="Arial"/>
          <w:b/>
        </w:rPr>
        <w:t>Delivery of Tender</w:t>
      </w:r>
    </w:p>
    <w:p w14:paraId="3F5E11D6" w14:textId="77777777" w:rsidR="00661D41" w:rsidRPr="00C566DF" w:rsidRDefault="00661D41" w:rsidP="00661D41">
      <w:pPr>
        <w:pStyle w:val="ListParagraph"/>
        <w:numPr>
          <w:ilvl w:val="0"/>
          <w:numId w:val="6"/>
        </w:numPr>
        <w:spacing w:before="120" w:after="0" w:line="240" w:lineRule="auto"/>
        <w:ind w:left="709"/>
        <w:contextualSpacing w:val="0"/>
        <w:rPr>
          <w:rFonts w:ascii="Century Gothic" w:hAnsi="Century Gothic" w:cs="Arial"/>
          <w:b/>
          <w:vanish/>
        </w:rPr>
      </w:pPr>
    </w:p>
    <w:p w14:paraId="16DF0434" w14:textId="77777777" w:rsidR="00661D41" w:rsidRPr="00661D41" w:rsidRDefault="00661D41" w:rsidP="00661D41">
      <w:pPr>
        <w:numPr>
          <w:ilvl w:val="1"/>
          <w:numId w:val="6"/>
        </w:numPr>
        <w:spacing w:before="120" w:after="0" w:line="240" w:lineRule="auto"/>
        <w:ind w:left="709" w:hanging="720"/>
        <w:rPr>
          <w:rFonts w:ascii="Century Gothic" w:hAnsi="Century Gothic" w:cs="Arial"/>
          <w:b/>
        </w:rPr>
      </w:pPr>
      <w:r w:rsidRPr="00CB5DD5">
        <w:rPr>
          <w:rFonts w:ascii="Century Gothic" w:hAnsi="Century Gothic" w:cs="Arial"/>
          <w:b/>
        </w:rPr>
        <w:t>Number of Copies</w:t>
      </w:r>
    </w:p>
    <w:p w14:paraId="04B100FB" w14:textId="77777777" w:rsidR="00661D41" w:rsidRPr="00CB5DD5" w:rsidRDefault="00661D41" w:rsidP="00661D41">
      <w:pPr>
        <w:spacing w:before="120" w:after="0" w:line="240" w:lineRule="auto"/>
        <w:ind w:left="709"/>
        <w:rPr>
          <w:rFonts w:ascii="Century Gothic" w:hAnsi="Century Gothic" w:cs="Arial"/>
          <w:bCs/>
        </w:rPr>
      </w:pPr>
      <w:r w:rsidRPr="00CB5DD5">
        <w:rPr>
          <w:rFonts w:ascii="Century Gothic" w:hAnsi="Century Gothic" w:cs="Arial"/>
          <w:bCs/>
        </w:rPr>
        <w:t xml:space="preserve">Please submit an electronic copy </w:t>
      </w:r>
      <w:r w:rsidR="006941EE">
        <w:rPr>
          <w:rFonts w:ascii="Century Gothic" w:hAnsi="Century Gothic" w:cs="Arial"/>
          <w:bCs/>
        </w:rPr>
        <w:t xml:space="preserve">of the Invitation </w:t>
      </w:r>
      <w:proofErr w:type="gramStart"/>
      <w:r w:rsidR="006941EE">
        <w:rPr>
          <w:rFonts w:ascii="Century Gothic" w:hAnsi="Century Gothic" w:cs="Arial"/>
          <w:bCs/>
        </w:rPr>
        <w:t>To</w:t>
      </w:r>
      <w:proofErr w:type="gramEnd"/>
      <w:r w:rsidR="006941EE">
        <w:rPr>
          <w:rFonts w:ascii="Century Gothic" w:hAnsi="Century Gothic" w:cs="Arial"/>
          <w:bCs/>
        </w:rPr>
        <w:t xml:space="preserve"> Tender, including supporting documents, and the Statement of Tender </w:t>
      </w:r>
      <w:r w:rsidRPr="00CB5DD5">
        <w:rPr>
          <w:rFonts w:ascii="Century Gothic" w:hAnsi="Century Gothic" w:cs="Arial"/>
          <w:bCs/>
        </w:rPr>
        <w:t>by email by the delivery date and time.</w:t>
      </w:r>
    </w:p>
    <w:p w14:paraId="59967EF9" w14:textId="77777777" w:rsidR="00661D41" w:rsidRPr="00661D41" w:rsidRDefault="00661D41" w:rsidP="00661D41">
      <w:pPr>
        <w:numPr>
          <w:ilvl w:val="1"/>
          <w:numId w:val="6"/>
        </w:numPr>
        <w:spacing w:before="120" w:after="0" w:line="240" w:lineRule="auto"/>
        <w:ind w:left="709" w:hanging="720"/>
        <w:rPr>
          <w:rFonts w:ascii="Century Gothic" w:hAnsi="Century Gothic" w:cs="Arial"/>
          <w:b/>
        </w:rPr>
      </w:pPr>
      <w:r w:rsidRPr="00CB5DD5">
        <w:rPr>
          <w:rFonts w:ascii="Century Gothic" w:hAnsi="Century Gothic" w:cs="Arial"/>
          <w:b/>
        </w:rPr>
        <w:t xml:space="preserve">Delivery Address </w:t>
      </w:r>
    </w:p>
    <w:p w14:paraId="7D920C64" w14:textId="77777777" w:rsidR="00661D41" w:rsidRPr="00CB5DD5" w:rsidRDefault="00661D41" w:rsidP="00661D41">
      <w:pPr>
        <w:spacing w:before="120" w:after="0" w:line="240" w:lineRule="auto"/>
        <w:ind w:left="709"/>
        <w:rPr>
          <w:rFonts w:ascii="Century Gothic" w:hAnsi="Century Gothic" w:cs="Arial"/>
        </w:rPr>
      </w:pPr>
      <w:r w:rsidRPr="00CB5DD5">
        <w:rPr>
          <w:rFonts w:ascii="Century Gothic" w:hAnsi="Century Gothic" w:cs="Arial"/>
        </w:rPr>
        <w:t xml:space="preserve">Tenders should be sent by email to, </w:t>
      </w:r>
      <w:hyperlink r:id="rId14" w:history="1">
        <w:r w:rsidRPr="00EB4474">
          <w:rPr>
            <w:rStyle w:val="Hyperlink"/>
            <w:rFonts w:ascii="Century Gothic" w:hAnsi="Century Gothic" w:cs="Arial"/>
          </w:rPr>
          <w:t>r.bunn@eastcoast.ac.uk</w:t>
        </w:r>
      </w:hyperlink>
      <w:r w:rsidRPr="00CB5DD5">
        <w:rPr>
          <w:rFonts w:ascii="Century Gothic" w:hAnsi="Century Gothic" w:cs="Arial"/>
        </w:rPr>
        <w:t xml:space="preserve"> </w:t>
      </w:r>
    </w:p>
    <w:p w14:paraId="66F254C8" w14:textId="6FF63375" w:rsidR="00661D41" w:rsidRPr="00CB5DD5" w:rsidRDefault="00661D41" w:rsidP="00661D41">
      <w:pPr>
        <w:spacing w:before="120" w:after="0" w:line="240" w:lineRule="auto"/>
        <w:ind w:left="709"/>
        <w:rPr>
          <w:rFonts w:ascii="Century Gothic" w:hAnsi="Century Gothic" w:cs="Arial"/>
        </w:rPr>
      </w:pPr>
      <w:r w:rsidRPr="00CB5DD5">
        <w:rPr>
          <w:rFonts w:ascii="Century Gothic" w:hAnsi="Century Gothic" w:cs="Arial"/>
        </w:rPr>
        <w:t xml:space="preserve">The words “Tender for </w:t>
      </w:r>
      <w:r>
        <w:rPr>
          <w:rFonts w:ascii="Century Gothic" w:hAnsi="Century Gothic" w:cs="Arial"/>
        </w:rPr>
        <w:t xml:space="preserve">Subcontracting </w:t>
      </w:r>
      <w:r w:rsidR="00CD06D2">
        <w:rPr>
          <w:rFonts w:ascii="Century Gothic" w:hAnsi="Century Gothic" w:cs="Arial"/>
        </w:rPr>
        <w:t>202</w:t>
      </w:r>
      <w:r w:rsidR="00794E1B">
        <w:rPr>
          <w:rFonts w:ascii="Century Gothic" w:hAnsi="Century Gothic" w:cs="Arial"/>
        </w:rPr>
        <w:t>5</w:t>
      </w:r>
      <w:r w:rsidR="00CD06D2">
        <w:rPr>
          <w:rFonts w:ascii="Century Gothic" w:hAnsi="Century Gothic" w:cs="Arial"/>
        </w:rPr>
        <w:t>/2</w:t>
      </w:r>
      <w:r w:rsidR="00794E1B">
        <w:rPr>
          <w:rFonts w:ascii="Century Gothic" w:hAnsi="Century Gothic" w:cs="Arial"/>
        </w:rPr>
        <w:t>6</w:t>
      </w:r>
      <w:r w:rsidRPr="00CB5DD5">
        <w:rPr>
          <w:rFonts w:ascii="Century Gothic" w:hAnsi="Century Gothic" w:cs="Arial"/>
        </w:rPr>
        <w:t>” should be the subject line for the email.</w:t>
      </w:r>
    </w:p>
    <w:p w14:paraId="79AB719E" w14:textId="77777777" w:rsidR="00661D41" w:rsidRPr="00661D41" w:rsidRDefault="00661D41" w:rsidP="00661D41">
      <w:pPr>
        <w:numPr>
          <w:ilvl w:val="0"/>
          <w:numId w:val="5"/>
        </w:numPr>
        <w:spacing w:before="120" w:after="0" w:line="240" w:lineRule="auto"/>
        <w:ind w:left="709" w:hanging="720"/>
        <w:rPr>
          <w:rFonts w:ascii="Century Gothic" w:hAnsi="Century Gothic" w:cs="Arial"/>
          <w:b/>
        </w:rPr>
      </w:pPr>
      <w:r w:rsidRPr="00CB5DD5">
        <w:rPr>
          <w:rFonts w:ascii="Century Gothic" w:hAnsi="Century Gothic" w:cs="Arial"/>
          <w:b/>
        </w:rPr>
        <w:t>Treatment of Tender</w:t>
      </w:r>
    </w:p>
    <w:p w14:paraId="4132A8FE" w14:textId="77777777" w:rsidR="00661D41" w:rsidRPr="00C566DF" w:rsidRDefault="00661D41" w:rsidP="00661D41">
      <w:pPr>
        <w:pStyle w:val="ListParagraph"/>
        <w:numPr>
          <w:ilvl w:val="0"/>
          <w:numId w:val="6"/>
        </w:numPr>
        <w:spacing w:before="120" w:after="0" w:line="240" w:lineRule="auto"/>
        <w:ind w:left="709"/>
        <w:contextualSpacing w:val="0"/>
        <w:rPr>
          <w:rFonts w:ascii="Century Gothic" w:hAnsi="Century Gothic" w:cs="Arial"/>
          <w:b/>
          <w:vanish/>
        </w:rPr>
      </w:pPr>
    </w:p>
    <w:p w14:paraId="4F89F602" w14:textId="77777777" w:rsidR="00661D41" w:rsidRPr="00661D41" w:rsidRDefault="00661D41" w:rsidP="00661D41">
      <w:pPr>
        <w:numPr>
          <w:ilvl w:val="1"/>
          <w:numId w:val="6"/>
        </w:numPr>
        <w:spacing w:before="120" w:after="0" w:line="240" w:lineRule="auto"/>
        <w:ind w:left="709" w:hanging="709"/>
        <w:rPr>
          <w:rFonts w:ascii="Century Gothic" w:hAnsi="Century Gothic" w:cs="Arial"/>
          <w:b/>
        </w:rPr>
      </w:pPr>
      <w:r w:rsidRPr="00CB5DD5">
        <w:rPr>
          <w:rFonts w:ascii="Century Gothic" w:hAnsi="Century Gothic" w:cs="Arial"/>
          <w:b/>
        </w:rPr>
        <w:t>East Coast</w:t>
      </w:r>
      <w:r>
        <w:rPr>
          <w:rFonts w:ascii="Century Gothic" w:hAnsi="Century Gothic" w:cs="Arial"/>
          <w:b/>
        </w:rPr>
        <w:t xml:space="preserve"> College’s D</w:t>
      </w:r>
      <w:r w:rsidRPr="00CB5DD5">
        <w:rPr>
          <w:rFonts w:ascii="Century Gothic" w:hAnsi="Century Gothic" w:cs="Arial"/>
          <w:b/>
        </w:rPr>
        <w:t>iscretion</w:t>
      </w:r>
    </w:p>
    <w:p w14:paraId="7AAF8D7B" w14:textId="77777777" w:rsidR="00661D41" w:rsidRPr="00CB5DD5" w:rsidRDefault="00661D41" w:rsidP="00661D41">
      <w:pPr>
        <w:spacing w:before="120" w:after="0" w:line="240" w:lineRule="auto"/>
        <w:ind w:left="709"/>
        <w:rPr>
          <w:rFonts w:ascii="Century Gothic" w:hAnsi="Century Gothic" w:cs="Arial"/>
        </w:rPr>
      </w:pPr>
      <w:r w:rsidRPr="00CB5DD5">
        <w:rPr>
          <w:rFonts w:ascii="Century Gothic" w:hAnsi="Century Gothic" w:cs="Arial"/>
        </w:rPr>
        <w:t xml:space="preserve">The College does not undertake to accept the lowest Tender, or part or all of any Tender, and the acknowledgement of receipt of any submitted Tender shall not constitute any actual or implied agreement between the College and the Tenderer.  </w:t>
      </w:r>
      <w:r w:rsidRPr="00CB5DD5">
        <w:rPr>
          <w:rFonts w:ascii="Century Gothic" w:hAnsi="Century Gothic" w:cs="Arial"/>
        </w:rPr>
        <w:lastRenderedPageBreak/>
        <w:t>The College reserves the right to accept any part, all or none of any Tender or Tenderers at its sole discretion.</w:t>
      </w:r>
    </w:p>
    <w:p w14:paraId="3BD390F5" w14:textId="77777777" w:rsidR="00661D41" w:rsidRPr="00661D41" w:rsidRDefault="00661D41" w:rsidP="00661D41">
      <w:pPr>
        <w:numPr>
          <w:ilvl w:val="1"/>
          <w:numId w:val="6"/>
        </w:numPr>
        <w:spacing w:before="120" w:after="0" w:line="240" w:lineRule="auto"/>
        <w:ind w:left="709" w:hanging="709"/>
        <w:rPr>
          <w:rFonts w:ascii="Century Gothic" w:hAnsi="Century Gothic" w:cs="Arial"/>
          <w:b/>
        </w:rPr>
      </w:pPr>
      <w:r w:rsidRPr="00CB5DD5">
        <w:rPr>
          <w:rFonts w:ascii="Century Gothic" w:hAnsi="Century Gothic" w:cs="Arial"/>
          <w:b/>
        </w:rPr>
        <w:t>Incomplete Tender</w:t>
      </w:r>
    </w:p>
    <w:p w14:paraId="3E6CE8C9" w14:textId="77777777" w:rsidR="00661D41" w:rsidRPr="00CB5DD5" w:rsidRDefault="00661D41" w:rsidP="00661D41">
      <w:pPr>
        <w:spacing w:before="120" w:after="0" w:line="240" w:lineRule="auto"/>
        <w:ind w:left="709"/>
        <w:rPr>
          <w:rFonts w:ascii="Century Gothic" w:hAnsi="Century Gothic" w:cs="Arial"/>
        </w:rPr>
      </w:pPr>
      <w:r w:rsidRPr="00CB5DD5">
        <w:rPr>
          <w:rFonts w:ascii="Century Gothic" w:hAnsi="Century Gothic" w:cs="Arial"/>
        </w:rPr>
        <w:t>Tenders may not be considered if the complete information called for is not given at the time of tendering.</w:t>
      </w:r>
    </w:p>
    <w:p w14:paraId="732B426E" w14:textId="77777777" w:rsidR="00661D41" w:rsidRPr="00661D41" w:rsidRDefault="00661D41" w:rsidP="00661D41">
      <w:pPr>
        <w:numPr>
          <w:ilvl w:val="1"/>
          <w:numId w:val="6"/>
        </w:numPr>
        <w:spacing w:before="120" w:after="0" w:line="240" w:lineRule="auto"/>
        <w:ind w:left="709" w:hanging="709"/>
        <w:rPr>
          <w:rFonts w:ascii="Century Gothic" w:hAnsi="Century Gothic" w:cs="Arial"/>
          <w:b/>
        </w:rPr>
      </w:pPr>
      <w:r w:rsidRPr="00CB5DD5">
        <w:rPr>
          <w:rFonts w:ascii="Century Gothic" w:hAnsi="Century Gothic" w:cs="Arial"/>
          <w:b/>
        </w:rPr>
        <w:t>Results of Tendering</w:t>
      </w:r>
    </w:p>
    <w:p w14:paraId="5DA066E0" w14:textId="77777777" w:rsidR="00661D41" w:rsidRPr="00CB5DD5" w:rsidRDefault="00661D41" w:rsidP="00661D41">
      <w:pPr>
        <w:spacing w:before="120" w:after="0" w:line="240" w:lineRule="auto"/>
        <w:ind w:left="709"/>
        <w:rPr>
          <w:rFonts w:ascii="Century Gothic" w:hAnsi="Century Gothic" w:cs="Arial"/>
        </w:rPr>
      </w:pPr>
      <w:r w:rsidRPr="00CB5DD5">
        <w:rPr>
          <w:rFonts w:ascii="Century Gothic" w:hAnsi="Century Gothic" w:cs="Arial"/>
        </w:rPr>
        <w:t xml:space="preserve">The College will consider all tenders correctly submitted and will select one with a view to reaching a contractual agreement subject to clarification of any outstanding matters.  When the final decision regarding the result of the Invitation to Tender has been taken, all Tenderers will be informed in writing whether or not they have been successful.  </w:t>
      </w:r>
    </w:p>
    <w:p w14:paraId="6D979562" w14:textId="77777777" w:rsidR="00981E1A" w:rsidRDefault="00981E1A">
      <w:pPr>
        <w:rPr>
          <w:rFonts w:ascii="Century Gothic" w:hAnsi="Century Gothic"/>
        </w:rPr>
      </w:pPr>
      <w:r>
        <w:rPr>
          <w:rFonts w:ascii="Century Gothic" w:hAnsi="Century Gothic"/>
        </w:rPr>
        <w:br w:type="page"/>
      </w:r>
    </w:p>
    <w:p w14:paraId="6B4AD406" w14:textId="17807487" w:rsidR="00981E1A" w:rsidRDefault="00981E1A" w:rsidP="00981E1A">
      <w:pPr>
        <w:spacing w:after="0" w:line="240" w:lineRule="auto"/>
        <w:rPr>
          <w:rFonts w:ascii="Century Gothic" w:hAnsi="Century Gothic"/>
          <w:b/>
          <w:sz w:val="24"/>
          <w:szCs w:val="24"/>
        </w:rPr>
      </w:pPr>
      <w:r w:rsidRPr="00FC540B">
        <w:rPr>
          <w:rFonts w:ascii="Century Gothic" w:hAnsi="Century Gothic"/>
          <w:noProof/>
          <w:lang w:eastAsia="en-GB"/>
        </w:rPr>
        <w:lastRenderedPageBreak/>
        <w:drawing>
          <wp:anchor distT="0" distB="0" distL="114300" distR="114300" simplePos="0" relativeHeight="251658244" behindDoc="0" locked="0" layoutInCell="1" allowOverlap="1" wp14:anchorId="1DA93BC7" wp14:editId="00670EB3">
            <wp:simplePos x="0" y="0"/>
            <wp:positionH relativeFrom="margin">
              <wp:align>right</wp:align>
            </wp:positionH>
            <wp:positionV relativeFrom="paragraph">
              <wp:posOffset>-140446</wp:posOffset>
            </wp:positionV>
            <wp:extent cx="842838" cy="580483"/>
            <wp:effectExtent l="0" t="0" r="0" b="0"/>
            <wp:wrapNone/>
            <wp:docPr id="5" name="Picture 5" descr="\\fs2\StaffDesktops\t.bright\Desktop\ECC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StaffDesktops\t.bright\Desktop\ECC logo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838" cy="5804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sz w:val="24"/>
          <w:szCs w:val="24"/>
        </w:rPr>
        <w:t>Appendix 4</w:t>
      </w:r>
      <w:r w:rsidRPr="00D45F06">
        <w:rPr>
          <w:rFonts w:ascii="Century Gothic" w:hAnsi="Century Gothic"/>
          <w:b/>
          <w:sz w:val="24"/>
          <w:szCs w:val="24"/>
        </w:rPr>
        <w:t xml:space="preserve"> – </w:t>
      </w:r>
      <w:r>
        <w:rPr>
          <w:rFonts w:ascii="Century Gothic" w:hAnsi="Century Gothic"/>
          <w:b/>
          <w:sz w:val="24"/>
          <w:szCs w:val="24"/>
        </w:rPr>
        <w:t>Scoring Matrix</w:t>
      </w:r>
      <w:r w:rsidRPr="00D45F06">
        <w:rPr>
          <w:rFonts w:ascii="Century Gothic" w:hAnsi="Century Gothic"/>
          <w:b/>
          <w:sz w:val="24"/>
          <w:szCs w:val="24"/>
        </w:rPr>
        <w:t xml:space="preserve"> </w:t>
      </w:r>
    </w:p>
    <w:p w14:paraId="30B4DB19" w14:textId="77777777" w:rsidR="00981E1A" w:rsidRDefault="00981E1A" w:rsidP="00981E1A">
      <w:pPr>
        <w:spacing w:after="0" w:line="240" w:lineRule="auto"/>
        <w:rPr>
          <w:rFonts w:ascii="Century Gothic" w:hAnsi="Century Gothic"/>
          <w:b/>
          <w:sz w:val="24"/>
          <w:szCs w:val="24"/>
        </w:rPr>
      </w:pPr>
    </w:p>
    <w:p w14:paraId="25461DBC" w14:textId="77777777" w:rsidR="00981E1A" w:rsidRDefault="00981E1A" w:rsidP="00981E1A">
      <w:pPr>
        <w:spacing w:after="0" w:line="240" w:lineRule="auto"/>
        <w:rPr>
          <w:rFonts w:ascii="Century Gothic" w:hAnsi="Century Gothic"/>
          <w:b/>
          <w:sz w:val="24"/>
          <w:szCs w:val="24"/>
        </w:rPr>
      </w:pPr>
    </w:p>
    <w:tbl>
      <w:tblPr>
        <w:tblStyle w:val="TableGrid"/>
        <w:tblW w:w="0" w:type="auto"/>
        <w:tblLook w:val="04A0" w:firstRow="1" w:lastRow="0" w:firstColumn="1" w:lastColumn="0" w:noHBand="0" w:noVBand="1"/>
      </w:tblPr>
      <w:tblGrid>
        <w:gridCol w:w="3196"/>
        <w:gridCol w:w="1936"/>
        <w:gridCol w:w="1936"/>
        <w:gridCol w:w="1948"/>
      </w:tblGrid>
      <w:tr w:rsidR="00981E1A" w14:paraId="7CB4AF36" w14:textId="77777777" w:rsidTr="00CD06D2">
        <w:tc>
          <w:tcPr>
            <w:tcW w:w="3196" w:type="dxa"/>
          </w:tcPr>
          <w:p w14:paraId="0DEF6BFF" w14:textId="77777777" w:rsidR="00981E1A" w:rsidRPr="00981E1A" w:rsidRDefault="00981E1A" w:rsidP="00981E1A">
            <w:pPr>
              <w:spacing w:before="60" w:after="60"/>
              <w:rPr>
                <w:rFonts w:ascii="Century Gothic" w:hAnsi="Century Gothic"/>
              </w:rPr>
            </w:pPr>
            <w:r>
              <w:rPr>
                <w:rFonts w:ascii="Century Gothic" w:hAnsi="Century Gothic"/>
              </w:rPr>
              <w:t>ITT Question</w:t>
            </w:r>
          </w:p>
        </w:tc>
        <w:tc>
          <w:tcPr>
            <w:tcW w:w="1936" w:type="dxa"/>
          </w:tcPr>
          <w:p w14:paraId="350EE00B" w14:textId="77777777" w:rsidR="00981E1A" w:rsidRPr="00981E1A" w:rsidRDefault="00981E1A" w:rsidP="00981E1A">
            <w:pPr>
              <w:spacing w:before="60" w:after="60"/>
              <w:rPr>
                <w:rFonts w:ascii="Century Gothic" w:hAnsi="Century Gothic"/>
              </w:rPr>
            </w:pPr>
            <w:r w:rsidRPr="00981E1A">
              <w:rPr>
                <w:rFonts w:ascii="Century Gothic" w:hAnsi="Century Gothic"/>
              </w:rPr>
              <w:t>1 point</w:t>
            </w:r>
          </w:p>
        </w:tc>
        <w:tc>
          <w:tcPr>
            <w:tcW w:w="1936" w:type="dxa"/>
          </w:tcPr>
          <w:p w14:paraId="16B5C7A3" w14:textId="77777777" w:rsidR="00981E1A" w:rsidRPr="00981E1A" w:rsidRDefault="00981E1A" w:rsidP="00981E1A">
            <w:pPr>
              <w:spacing w:before="60" w:after="60"/>
              <w:rPr>
                <w:rFonts w:ascii="Century Gothic" w:hAnsi="Century Gothic"/>
              </w:rPr>
            </w:pPr>
            <w:r w:rsidRPr="00981E1A">
              <w:rPr>
                <w:rFonts w:ascii="Century Gothic" w:hAnsi="Century Gothic"/>
              </w:rPr>
              <w:t xml:space="preserve">2 </w:t>
            </w:r>
            <w:proofErr w:type="gramStart"/>
            <w:r w:rsidRPr="00981E1A">
              <w:rPr>
                <w:rFonts w:ascii="Century Gothic" w:hAnsi="Century Gothic"/>
              </w:rPr>
              <w:t>point</w:t>
            </w:r>
            <w:proofErr w:type="gramEnd"/>
            <w:r w:rsidRPr="00981E1A">
              <w:rPr>
                <w:rFonts w:ascii="Century Gothic" w:hAnsi="Century Gothic"/>
              </w:rPr>
              <w:t xml:space="preserve"> </w:t>
            </w:r>
          </w:p>
        </w:tc>
        <w:tc>
          <w:tcPr>
            <w:tcW w:w="1948" w:type="dxa"/>
            <w:tcBorders>
              <w:bottom w:val="single" w:sz="4" w:space="0" w:color="auto"/>
            </w:tcBorders>
          </w:tcPr>
          <w:p w14:paraId="56B8702F" w14:textId="77777777" w:rsidR="00981E1A" w:rsidRPr="00981E1A" w:rsidRDefault="00981E1A" w:rsidP="00981E1A">
            <w:pPr>
              <w:spacing w:before="60" w:after="60"/>
              <w:rPr>
                <w:rFonts w:ascii="Century Gothic" w:hAnsi="Century Gothic"/>
              </w:rPr>
            </w:pPr>
            <w:r w:rsidRPr="00981E1A">
              <w:rPr>
                <w:rFonts w:ascii="Century Gothic" w:hAnsi="Century Gothic"/>
              </w:rPr>
              <w:t xml:space="preserve">3 </w:t>
            </w:r>
            <w:proofErr w:type="gramStart"/>
            <w:r w:rsidRPr="00981E1A">
              <w:rPr>
                <w:rFonts w:ascii="Century Gothic" w:hAnsi="Century Gothic"/>
              </w:rPr>
              <w:t>point</w:t>
            </w:r>
            <w:proofErr w:type="gramEnd"/>
          </w:p>
        </w:tc>
      </w:tr>
      <w:tr w:rsidR="00981E1A" w14:paraId="5673B600" w14:textId="77777777" w:rsidTr="00CD06D2">
        <w:tc>
          <w:tcPr>
            <w:tcW w:w="3196" w:type="dxa"/>
          </w:tcPr>
          <w:p w14:paraId="3AB29949" w14:textId="77777777" w:rsidR="00981E1A" w:rsidRPr="00981E1A" w:rsidRDefault="00981E1A" w:rsidP="00981E1A">
            <w:pPr>
              <w:spacing w:before="60" w:after="60"/>
              <w:rPr>
                <w:rFonts w:ascii="Century Gothic" w:hAnsi="Century Gothic"/>
              </w:rPr>
            </w:pPr>
            <w:r>
              <w:rPr>
                <w:rFonts w:ascii="Century Gothic" w:hAnsi="Century Gothic"/>
              </w:rPr>
              <w:t>1 - Name</w:t>
            </w:r>
          </w:p>
        </w:tc>
        <w:tc>
          <w:tcPr>
            <w:tcW w:w="1936" w:type="dxa"/>
            <w:shd w:val="clear" w:color="auto" w:fill="D9D9D9" w:themeFill="background1" w:themeFillShade="D9"/>
          </w:tcPr>
          <w:p w14:paraId="70AF6A4C" w14:textId="77777777" w:rsidR="00981E1A" w:rsidRPr="00981E1A" w:rsidRDefault="00981E1A" w:rsidP="00981E1A">
            <w:pPr>
              <w:spacing w:before="60" w:after="60"/>
              <w:rPr>
                <w:rFonts w:ascii="Century Gothic" w:hAnsi="Century Gothic"/>
              </w:rPr>
            </w:pPr>
          </w:p>
        </w:tc>
        <w:tc>
          <w:tcPr>
            <w:tcW w:w="1936" w:type="dxa"/>
            <w:shd w:val="clear" w:color="auto" w:fill="D9D9D9" w:themeFill="background1" w:themeFillShade="D9"/>
          </w:tcPr>
          <w:p w14:paraId="148DCB37" w14:textId="77777777" w:rsidR="00981E1A" w:rsidRPr="00981E1A" w:rsidRDefault="00981E1A" w:rsidP="00981E1A">
            <w:pPr>
              <w:spacing w:before="60" w:after="60"/>
              <w:rPr>
                <w:rFonts w:ascii="Century Gothic" w:hAnsi="Century Gothic"/>
              </w:rPr>
            </w:pPr>
          </w:p>
        </w:tc>
        <w:tc>
          <w:tcPr>
            <w:tcW w:w="1948" w:type="dxa"/>
            <w:shd w:val="pct15" w:color="auto" w:fill="auto"/>
          </w:tcPr>
          <w:p w14:paraId="1EB9BC26" w14:textId="77777777" w:rsidR="00981E1A" w:rsidRPr="00981E1A" w:rsidRDefault="00981E1A" w:rsidP="00981E1A">
            <w:pPr>
              <w:spacing w:before="60" w:after="60"/>
              <w:rPr>
                <w:rFonts w:ascii="Century Gothic" w:hAnsi="Century Gothic"/>
              </w:rPr>
            </w:pPr>
          </w:p>
        </w:tc>
      </w:tr>
      <w:tr w:rsidR="00981E1A" w14:paraId="74C54BA2" w14:textId="77777777" w:rsidTr="00CD06D2">
        <w:tc>
          <w:tcPr>
            <w:tcW w:w="3196" w:type="dxa"/>
          </w:tcPr>
          <w:p w14:paraId="301A00AF" w14:textId="77777777" w:rsidR="00981E1A" w:rsidRPr="00981E1A" w:rsidRDefault="00981E1A" w:rsidP="00981E1A">
            <w:pPr>
              <w:spacing w:before="60" w:after="60"/>
              <w:rPr>
                <w:rFonts w:ascii="Century Gothic" w:hAnsi="Century Gothic"/>
              </w:rPr>
            </w:pPr>
            <w:r>
              <w:rPr>
                <w:rFonts w:ascii="Century Gothic" w:hAnsi="Century Gothic"/>
              </w:rPr>
              <w:t>2 - Address</w:t>
            </w:r>
          </w:p>
        </w:tc>
        <w:tc>
          <w:tcPr>
            <w:tcW w:w="1936" w:type="dxa"/>
            <w:shd w:val="clear" w:color="auto" w:fill="D9D9D9" w:themeFill="background1" w:themeFillShade="D9"/>
          </w:tcPr>
          <w:p w14:paraId="7098F584" w14:textId="77777777" w:rsidR="00981E1A" w:rsidRPr="00981E1A" w:rsidRDefault="00981E1A" w:rsidP="00981E1A">
            <w:pPr>
              <w:spacing w:before="60" w:after="60"/>
              <w:rPr>
                <w:rFonts w:ascii="Century Gothic" w:hAnsi="Century Gothic"/>
              </w:rPr>
            </w:pPr>
          </w:p>
        </w:tc>
        <w:tc>
          <w:tcPr>
            <w:tcW w:w="1936" w:type="dxa"/>
            <w:shd w:val="clear" w:color="auto" w:fill="D9D9D9" w:themeFill="background1" w:themeFillShade="D9"/>
          </w:tcPr>
          <w:p w14:paraId="370FAEC8" w14:textId="77777777" w:rsidR="00981E1A" w:rsidRPr="00981E1A" w:rsidRDefault="00981E1A" w:rsidP="00981E1A">
            <w:pPr>
              <w:spacing w:before="60" w:after="60"/>
              <w:rPr>
                <w:rFonts w:ascii="Century Gothic" w:hAnsi="Century Gothic"/>
              </w:rPr>
            </w:pPr>
          </w:p>
        </w:tc>
        <w:tc>
          <w:tcPr>
            <w:tcW w:w="1948" w:type="dxa"/>
            <w:shd w:val="pct15" w:color="auto" w:fill="auto"/>
          </w:tcPr>
          <w:p w14:paraId="6FB102CC" w14:textId="77777777" w:rsidR="00981E1A" w:rsidRPr="00981E1A" w:rsidRDefault="00981E1A" w:rsidP="00981E1A">
            <w:pPr>
              <w:spacing w:before="60" w:after="60"/>
              <w:rPr>
                <w:rFonts w:ascii="Century Gothic" w:hAnsi="Century Gothic"/>
              </w:rPr>
            </w:pPr>
          </w:p>
        </w:tc>
      </w:tr>
      <w:tr w:rsidR="00981E1A" w14:paraId="0F63FFDA" w14:textId="77777777" w:rsidTr="00CD06D2">
        <w:tc>
          <w:tcPr>
            <w:tcW w:w="3196" w:type="dxa"/>
          </w:tcPr>
          <w:p w14:paraId="4FF38C0C" w14:textId="77777777" w:rsidR="00981E1A" w:rsidRPr="00981E1A" w:rsidRDefault="00981E1A" w:rsidP="00981E1A">
            <w:pPr>
              <w:spacing w:before="60" w:after="60"/>
              <w:rPr>
                <w:rFonts w:ascii="Century Gothic" w:hAnsi="Century Gothic"/>
              </w:rPr>
            </w:pPr>
            <w:r>
              <w:rPr>
                <w:rFonts w:ascii="Century Gothic" w:hAnsi="Century Gothic"/>
              </w:rPr>
              <w:t>3 - Registered</w:t>
            </w:r>
            <w:r w:rsidRPr="00981E1A">
              <w:rPr>
                <w:rFonts w:ascii="Century Gothic" w:hAnsi="Century Gothic"/>
              </w:rPr>
              <w:t xml:space="preserve"> organisation </w:t>
            </w:r>
          </w:p>
        </w:tc>
        <w:tc>
          <w:tcPr>
            <w:tcW w:w="1936" w:type="dxa"/>
            <w:shd w:val="clear" w:color="auto" w:fill="D9D9D9" w:themeFill="background1" w:themeFillShade="D9"/>
          </w:tcPr>
          <w:p w14:paraId="4D508E7C" w14:textId="77777777" w:rsidR="00981E1A" w:rsidRPr="00981E1A" w:rsidRDefault="00981E1A" w:rsidP="00981E1A">
            <w:pPr>
              <w:spacing w:before="60" w:after="60"/>
              <w:rPr>
                <w:rFonts w:ascii="Century Gothic" w:hAnsi="Century Gothic"/>
              </w:rPr>
            </w:pPr>
          </w:p>
        </w:tc>
        <w:tc>
          <w:tcPr>
            <w:tcW w:w="1936" w:type="dxa"/>
            <w:shd w:val="clear" w:color="auto" w:fill="D9D9D9" w:themeFill="background1" w:themeFillShade="D9"/>
          </w:tcPr>
          <w:p w14:paraId="26771AFE" w14:textId="77777777" w:rsidR="00981E1A" w:rsidRPr="00981E1A" w:rsidRDefault="00981E1A" w:rsidP="00981E1A">
            <w:pPr>
              <w:spacing w:before="60" w:after="60"/>
              <w:rPr>
                <w:rFonts w:ascii="Century Gothic" w:hAnsi="Century Gothic"/>
              </w:rPr>
            </w:pPr>
          </w:p>
        </w:tc>
        <w:tc>
          <w:tcPr>
            <w:tcW w:w="1948" w:type="dxa"/>
          </w:tcPr>
          <w:p w14:paraId="425343FC" w14:textId="77777777" w:rsidR="00981E1A" w:rsidRPr="00981E1A" w:rsidRDefault="00981E1A" w:rsidP="00981E1A">
            <w:pPr>
              <w:spacing w:before="60" w:after="60"/>
              <w:rPr>
                <w:rFonts w:ascii="Century Gothic" w:hAnsi="Century Gothic"/>
              </w:rPr>
            </w:pPr>
            <w:r w:rsidRPr="00981E1A">
              <w:rPr>
                <w:rFonts w:ascii="Century Gothic" w:hAnsi="Century Gothic"/>
              </w:rPr>
              <w:t>Y</w:t>
            </w:r>
            <w:r>
              <w:rPr>
                <w:rFonts w:ascii="Century Gothic" w:hAnsi="Century Gothic"/>
              </w:rPr>
              <w:t>es</w:t>
            </w:r>
          </w:p>
        </w:tc>
      </w:tr>
      <w:tr w:rsidR="00981E1A" w14:paraId="07C5E559" w14:textId="77777777" w:rsidTr="00CD06D2">
        <w:tc>
          <w:tcPr>
            <w:tcW w:w="3196" w:type="dxa"/>
          </w:tcPr>
          <w:p w14:paraId="0A5B17DA" w14:textId="77777777" w:rsidR="00981E1A" w:rsidRPr="00981E1A" w:rsidRDefault="00981E1A" w:rsidP="00981E1A">
            <w:pPr>
              <w:spacing w:before="60" w:after="60"/>
              <w:rPr>
                <w:rFonts w:ascii="Century Gothic" w:hAnsi="Century Gothic"/>
              </w:rPr>
            </w:pPr>
            <w:r>
              <w:rPr>
                <w:rFonts w:ascii="Century Gothic" w:hAnsi="Century Gothic"/>
              </w:rPr>
              <w:t xml:space="preserve">4 - </w:t>
            </w:r>
            <w:r w:rsidRPr="00981E1A">
              <w:rPr>
                <w:rFonts w:ascii="Century Gothic" w:hAnsi="Century Gothic"/>
              </w:rPr>
              <w:t xml:space="preserve">Affiliation /registrations </w:t>
            </w:r>
          </w:p>
        </w:tc>
        <w:tc>
          <w:tcPr>
            <w:tcW w:w="1936" w:type="dxa"/>
            <w:shd w:val="clear" w:color="auto" w:fill="D9D9D9" w:themeFill="background1" w:themeFillShade="D9"/>
          </w:tcPr>
          <w:p w14:paraId="63AECEE0" w14:textId="77777777" w:rsidR="00981E1A" w:rsidRPr="00981E1A" w:rsidRDefault="00981E1A" w:rsidP="00981E1A">
            <w:pPr>
              <w:spacing w:before="60" w:after="60"/>
              <w:rPr>
                <w:rFonts w:ascii="Century Gothic" w:hAnsi="Century Gothic"/>
              </w:rPr>
            </w:pPr>
          </w:p>
        </w:tc>
        <w:tc>
          <w:tcPr>
            <w:tcW w:w="1936" w:type="dxa"/>
          </w:tcPr>
          <w:p w14:paraId="4443488F" w14:textId="77777777" w:rsidR="00981E1A" w:rsidRPr="00981E1A" w:rsidRDefault="00981E1A" w:rsidP="00981E1A">
            <w:pPr>
              <w:spacing w:before="60" w:after="60"/>
              <w:rPr>
                <w:rFonts w:ascii="Century Gothic" w:hAnsi="Century Gothic"/>
              </w:rPr>
            </w:pPr>
            <w:r w:rsidRPr="00981E1A">
              <w:rPr>
                <w:rFonts w:ascii="Century Gothic" w:hAnsi="Century Gothic"/>
              </w:rPr>
              <w:t>OFSTED, Vocational relevance / subject specific</w:t>
            </w:r>
          </w:p>
        </w:tc>
        <w:tc>
          <w:tcPr>
            <w:tcW w:w="1948" w:type="dxa"/>
          </w:tcPr>
          <w:p w14:paraId="64435FFA" w14:textId="77777777" w:rsidR="00981E1A" w:rsidRPr="00981E1A" w:rsidRDefault="00981E1A" w:rsidP="00981E1A">
            <w:pPr>
              <w:spacing w:before="60" w:after="60"/>
              <w:rPr>
                <w:rFonts w:ascii="Century Gothic" w:hAnsi="Century Gothic"/>
              </w:rPr>
            </w:pPr>
            <w:r w:rsidRPr="00981E1A">
              <w:rPr>
                <w:rFonts w:ascii="Century Gothic" w:hAnsi="Century Gothic"/>
              </w:rPr>
              <w:t>RoATP</w:t>
            </w:r>
          </w:p>
        </w:tc>
      </w:tr>
      <w:tr w:rsidR="00981E1A" w14:paraId="5B14B275" w14:textId="77777777" w:rsidTr="00CD06D2">
        <w:tc>
          <w:tcPr>
            <w:tcW w:w="3196" w:type="dxa"/>
          </w:tcPr>
          <w:p w14:paraId="4DFC2D8C" w14:textId="77777777" w:rsidR="00981E1A" w:rsidRPr="00981E1A" w:rsidRDefault="00981E1A" w:rsidP="00981E1A">
            <w:pPr>
              <w:spacing w:before="60" w:after="60"/>
              <w:rPr>
                <w:rFonts w:ascii="Century Gothic" w:hAnsi="Century Gothic"/>
              </w:rPr>
            </w:pPr>
            <w:r>
              <w:rPr>
                <w:rFonts w:ascii="Century Gothic" w:hAnsi="Century Gothic"/>
              </w:rPr>
              <w:t xml:space="preserve">5 </w:t>
            </w:r>
            <w:proofErr w:type="gramStart"/>
            <w:r>
              <w:rPr>
                <w:rFonts w:ascii="Century Gothic" w:hAnsi="Century Gothic"/>
              </w:rPr>
              <w:t>-  Principal</w:t>
            </w:r>
            <w:proofErr w:type="gramEnd"/>
            <w:r>
              <w:rPr>
                <w:rFonts w:ascii="Century Gothic" w:hAnsi="Century Gothic"/>
              </w:rPr>
              <w:t xml:space="preserve"> </w:t>
            </w:r>
            <w:r w:rsidRPr="00981E1A">
              <w:rPr>
                <w:rFonts w:ascii="Century Gothic" w:hAnsi="Century Gothic"/>
              </w:rPr>
              <w:t>Activities</w:t>
            </w:r>
          </w:p>
        </w:tc>
        <w:tc>
          <w:tcPr>
            <w:tcW w:w="1936" w:type="dxa"/>
            <w:shd w:val="clear" w:color="auto" w:fill="D9D9D9" w:themeFill="background1" w:themeFillShade="D9"/>
          </w:tcPr>
          <w:p w14:paraId="5E6C1FC3" w14:textId="77777777" w:rsidR="00981E1A" w:rsidRPr="00981E1A" w:rsidRDefault="00981E1A" w:rsidP="00981E1A">
            <w:pPr>
              <w:spacing w:before="60" w:after="60"/>
              <w:rPr>
                <w:rFonts w:ascii="Century Gothic" w:hAnsi="Century Gothic"/>
              </w:rPr>
            </w:pPr>
          </w:p>
        </w:tc>
        <w:tc>
          <w:tcPr>
            <w:tcW w:w="1936" w:type="dxa"/>
          </w:tcPr>
          <w:p w14:paraId="750B55C0" w14:textId="77777777" w:rsidR="00981E1A" w:rsidRPr="00981E1A" w:rsidRDefault="00981E1A" w:rsidP="00981E1A">
            <w:pPr>
              <w:spacing w:before="60" w:after="60"/>
              <w:rPr>
                <w:rFonts w:ascii="Century Gothic" w:hAnsi="Century Gothic"/>
              </w:rPr>
            </w:pPr>
            <w:r w:rsidRPr="00981E1A">
              <w:rPr>
                <w:rFonts w:ascii="Century Gothic" w:hAnsi="Century Gothic"/>
              </w:rPr>
              <w:t>Training/ leisure courses</w:t>
            </w:r>
          </w:p>
        </w:tc>
        <w:tc>
          <w:tcPr>
            <w:tcW w:w="1948" w:type="dxa"/>
          </w:tcPr>
          <w:p w14:paraId="4EE5A5C1" w14:textId="77777777" w:rsidR="00981E1A" w:rsidRPr="00981E1A" w:rsidRDefault="00981E1A" w:rsidP="00981E1A">
            <w:pPr>
              <w:spacing w:before="60" w:after="60"/>
              <w:rPr>
                <w:rFonts w:ascii="Century Gothic" w:hAnsi="Century Gothic"/>
              </w:rPr>
            </w:pPr>
            <w:r w:rsidRPr="00981E1A">
              <w:rPr>
                <w:rFonts w:ascii="Century Gothic" w:hAnsi="Century Gothic"/>
              </w:rPr>
              <w:t xml:space="preserve">Education and training </w:t>
            </w:r>
          </w:p>
        </w:tc>
      </w:tr>
      <w:tr w:rsidR="00981E1A" w14:paraId="3BC4D682" w14:textId="77777777" w:rsidTr="00CD06D2">
        <w:tc>
          <w:tcPr>
            <w:tcW w:w="3196" w:type="dxa"/>
          </w:tcPr>
          <w:p w14:paraId="440F0812" w14:textId="77777777" w:rsidR="00981E1A" w:rsidRPr="00981E1A" w:rsidRDefault="00981E1A" w:rsidP="00981E1A">
            <w:pPr>
              <w:spacing w:before="60" w:after="60"/>
              <w:rPr>
                <w:rFonts w:ascii="Century Gothic" w:hAnsi="Century Gothic"/>
              </w:rPr>
            </w:pPr>
            <w:r>
              <w:rPr>
                <w:rFonts w:ascii="Century Gothic" w:hAnsi="Century Gothic"/>
              </w:rPr>
              <w:t xml:space="preserve">6 - </w:t>
            </w:r>
            <w:r w:rsidRPr="00981E1A">
              <w:rPr>
                <w:rFonts w:ascii="Century Gothic" w:hAnsi="Century Gothic"/>
              </w:rPr>
              <w:t xml:space="preserve">Experience in education </w:t>
            </w:r>
          </w:p>
        </w:tc>
        <w:tc>
          <w:tcPr>
            <w:tcW w:w="1936" w:type="dxa"/>
          </w:tcPr>
          <w:p w14:paraId="0FB58504" w14:textId="77777777" w:rsidR="00981E1A" w:rsidRPr="00981E1A" w:rsidRDefault="00981E1A" w:rsidP="00981E1A">
            <w:pPr>
              <w:spacing w:before="60" w:after="60"/>
              <w:rPr>
                <w:rFonts w:ascii="Century Gothic" w:hAnsi="Century Gothic"/>
              </w:rPr>
            </w:pPr>
            <w:r>
              <w:rPr>
                <w:rFonts w:ascii="Century Gothic" w:hAnsi="Century Gothic"/>
              </w:rPr>
              <w:t>Under 1 year</w:t>
            </w:r>
          </w:p>
        </w:tc>
        <w:tc>
          <w:tcPr>
            <w:tcW w:w="1936" w:type="dxa"/>
          </w:tcPr>
          <w:p w14:paraId="41BCA233" w14:textId="77777777" w:rsidR="00981E1A" w:rsidRPr="00981E1A" w:rsidRDefault="00981E1A" w:rsidP="00981E1A">
            <w:pPr>
              <w:spacing w:before="60" w:after="60"/>
              <w:rPr>
                <w:rFonts w:ascii="Century Gothic" w:hAnsi="Century Gothic"/>
              </w:rPr>
            </w:pPr>
            <w:r w:rsidRPr="00981E1A">
              <w:rPr>
                <w:rFonts w:ascii="Century Gothic" w:hAnsi="Century Gothic"/>
              </w:rPr>
              <w:t>1-2 years</w:t>
            </w:r>
          </w:p>
        </w:tc>
        <w:tc>
          <w:tcPr>
            <w:tcW w:w="1948" w:type="dxa"/>
          </w:tcPr>
          <w:p w14:paraId="7CA75DC2" w14:textId="77777777" w:rsidR="00981E1A" w:rsidRPr="00981E1A" w:rsidRDefault="00981E1A" w:rsidP="00981E1A">
            <w:pPr>
              <w:spacing w:before="60" w:after="60"/>
              <w:rPr>
                <w:rFonts w:ascii="Century Gothic" w:hAnsi="Century Gothic"/>
              </w:rPr>
            </w:pPr>
            <w:r w:rsidRPr="00981E1A">
              <w:rPr>
                <w:rFonts w:ascii="Century Gothic" w:hAnsi="Century Gothic"/>
              </w:rPr>
              <w:t xml:space="preserve">3+ years </w:t>
            </w:r>
          </w:p>
        </w:tc>
      </w:tr>
      <w:tr w:rsidR="00981E1A" w14:paraId="4BE4C349" w14:textId="77777777" w:rsidTr="00CD06D2">
        <w:tc>
          <w:tcPr>
            <w:tcW w:w="3196" w:type="dxa"/>
          </w:tcPr>
          <w:p w14:paraId="09661CF6" w14:textId="77777777" w:rsidR="00981E1A" w:rsidRPr="00981E1A" w:rsidRDefault="00981E1A" w:rsidP="00981E1A">
            <w:pPr>
              <w:spacing w:before="60" w:after="60"/>
              <w:rPr>
                <w:rFonts w:ascii="Century Gothic" w:hAnsi="Century Gothic"/>
              </w:rPr>
            </w:pPr>
            <w:r>
              <w:rPr>
                <w:rFonts w:ascii="Century Gothic" w:hAnsi="Century Gothic"/>
              </w:rPr>
              <w:t xml:space="preserve">7 </w:t>
            </w:r>
            <w:proofErr w:type="gramStart"/>
            <w:r>
              <w:rPr>
                <w:rFonts w:ascii="Century Gothic" w:hAnsi="Century Gothic"/>
              </w:rPr>
              <w:t xml:space="preserve">-  </w:t>
            </w:r>
            <w:r w:rsidRPr="00981E1A">
              <w:rPr>
                <w:rFonts w:ascii="Century Gothic" w:hAnsi="Century Gothic"/>
              </w:rPr>
              <w:t>Retention</w:t>
            </w:r>
            <w:proofErr w:type="gramEnd"/>
            <w:r w:rsidRPr="00981E1A">
              <w:rPr>
                <w:rFonts w:ascii="Century Gothic" w:hAnsi="Century Gothic"/>
              </w:rPr>
              <w:t xml:space="preserve"> </w:t>
            </w:r>
          </w:p>
        </w:tc>
        <w:tc>
          <w:tcPr>
            <w:tcW w:w="1936" w:type="dxa"/>
          </w:tcPr>
          <w:p w14:paraId="2D71B3C7" w14:textId="77777777" w:rsidR="00981E1A" w:rsidRPr="00981E1A" w:rsidRDefault="00981E1A" w:rsidP="00981E1A">
            <w:pPr>
              <w:spacing w:before="60" w:after="60"/>
              <w:rPr>
                <w:rFonts w:ascii="Century Gothic" w:hAnsi="Century Gothic"/>
              </w:rPr>
            </w:pPr>
            <w:proofErr w:type="gramStart"/>
            <w:r w:rsidRPr="00981E1A">
              <w:rPr>
                <w:rFonts w:ascii="Century Gothic" w:hAnsi="Century Gothic"/>
              </w:rPr>
              <w:t>Below  80</w:t>
            </w:r>
            <w:proofErr w:type="gramEnd"/>
            <w:r w:rsidRPr="00981E1A">
              <w:rPr>
                <w:rFonts w:ascii="Century Gothic" w:hAnsi="Century Gothic"/>
              </w:rPr>
              <w:t>%</w:t>
            </w:r>
            <w:r w:rsidRPr="00981E1A">
              <w:rPr>
                <w:rFonts w:ascii="Century Gothic" w:hAnsi="Century Gothic"/>
                <w:vertAlign w:val="superscript"/>
              </w:rPr>
              <w:t>#</w:t>
            </w:r>
          </w:p>
        </w:tc>
        <w:tc>
          <w:tcPr>
            <w:tcW w:w="1936" w:type="dxa"/>
          </w:tcPr>
          <w:p w14:paraId="7E0AABC9" w14:textId="77777777" w:rsidR="00981E1A" w:rsidRPr="00981E1A" w:rsidRDefault="00981E1A" w:rsidP="00981E1A">
            <w:pPr>
              <w:spacing w:before="60" w:after="60"/>
              <w:rPr>
                <w:rFonts w:ascii="Century Gothic" w:hAnsi="Century Gothic"/>
              </w:rPr>
            </w:pPr>
            <w:r w:rsidRPr="00981E1A">
              <w:rPr>
                <w:rFonts w:ascii="Century Gothic" w:hAnsi="Century Gothic"/>
              </w:rPr>
              <w:t>81-85%</w:t>
            </w:r>
            <w:r w:rsidRPr="00981E1A">
              <w:rPr>
                <w:rFonts w:ascii="Century Gothic" w:hAnsi="Century Gothic"/>
                <w:vertAlign w:val="superscript"/>
              </w:rPr>
              <w:t>#</w:t>
            </w:r>
          </w:p>
        </w:tc>
        <w:tc>
          <w:tcPr>
            <w:tcW w:w="1948" w:type="dxa"/>
          </w:tcPr>
          <w:p w14:paraId="7A6D3DB2" w14:textId="77777777" w:rsidR="00981E1A" w:rsidRPr="00981E1A" w:rsidRDefault="00981E1A" w:rsidP="00981E1A">
            <w:pPr>
              <w:spacing w:before="60" w:after="60"/>
              <w:rPr>
                <w:rFonts w:ascii="Century Gothic" w:hAnsi="Century Gothic"/>
              </w:rPr>
            </w:pPr>
            <w:r w:rsidRPr="00981E1A">
              <w:rPr>
                <w:rFonts w:ascii="Century Gothic" w:hAnsi="Century Gothic"/>
              </w:rPr>
              <w:t>86 +%</w:t>
            </w:r>
            <w:r w:rsidRPr="00981E1A">
              <w:rPr>
                <w:rFonts w:ascii="Century Gothic" w:hAnsi="Century Gothic"/>
                <w:vertAlign w:val="superscript"/>
              </w:rPr>
              <w:t>#</w:t>
            </w:r>
          </w:p>
        </w:tc>
      </w:tr>
      <w:tr w:rsidR="00981E1A" w14:paraId="4BBBE1F9" w14:textId="77777777" w:rsidTr="00CD06D2">
        <w:tc>
          <w:tcPr>
            <w:tcW w:w="3196" w:type="dxa"/>
          </w:tcPr>
          <w:p w14:paraId="22249778" w14:textId="77777777" w:rsidR="00981E1A" w:rsidRPr="00981E1A" w:rsidRDefault="00981E1A" w:rsidP="00981E1A">
            <w:pPr>
              <w:spacing w:before="60" w:after="60"/>
              <w:rPr>
                <w:rFonts w:ascii="Century Gothic" w:hAnsi="Century Gothic"/>
              </w:rPr>
            </w:pPr>
            <w:r>
              <w:rPr>
                <w:rFonts w:ascii="Century Gothic" w:hAnsi="Century Gothic"/>
              </w:rPr>
              <w:t xml:space="preserve">7 </w:t>
            </w:r>
            <w:proofErr w:type="gramStart"/>
            <w:r>
              <w:rPr>
                <w:rFonts w:ascii="Century Gothic" w:hAnsi="Century Gothic"/>
              </w:rPr>
              <w:t xml:space="preserve">-  </w:t>
            </w:r>
            <w:r w:rsidRPr="00981E1A">
              <w:rPr>
                <w:rFonts w:ascii="Century Gothic" w:hAnsi="Century Gothic"/>
              </w:rPr>
              <w:t>Achievement</w:t>
            </w:r>
            <w:proofErr w:type="gramEnd"/>
            <w:r w:rsidRPr="00981E1A">
              <w:rPr>
                <w:rFonts w:ascii="Century Gothic" w:hAnsi="Century Gothic"/>
              </w:rPr>
              <w:t xml:space="preserve"> </w:t>
            </w:r>
          </w:p>
        </w:tc>
        <w:tc>
          <w:tcPr>
            <w:tcW w:w="1936" w:type="dxa"/>
          </w:tcPr>
          <w:p w14:paraId="70D3A929" w14:textId="77777777" w:rsidR="00981E1A" w:rsidRPr="00981E1A" w:rsidRDefault="00981E1A" w:rsidP="00981E1A">
            <w:pPr>
              <w:spacing w:before="60" w:after="60"/>
              <w:rPr>
                <w:rFonts w:ascii="Century Gothic" w:hAnsi="Century Gothic"/>
              </w:rPr>
            </w:pPr>
            <w:proofErr w:type="gramStart"/>
            <w:r w:rsidRPr="00981E1A">
              <w:rPr>
                <w:rFonts w:ascii="Century Gothic" w:hAnsi="Century Gothic"/>
              </w:rPr>
              <w:t>Below  80</w:t>
            </w:r>
            <w:proofErr w:type="gramEnd"/>
            <w:r w:rsidRPr="00981E1A">
              <w:rPr>
                <w:rFonts w:ascii="Century Gothic" w:hAnsi="Century Gothic"/>
              </w:rPr>
              <w:t>%</w:t>
            </w:r>
            <w:r w:rsidRPr="00981E1A">
              <w:rPr>
                <w:rFonts w:ascii="Century Gothic" w:hAnsi="Century Gothic"/>
                <w:vertAlign w:val="superscript"/>
              </w:rPr>
              <w:t>#</w:t>
            </w:r>
          </w:p>
        </w:tc>
        <w:tc>
          <w:tcPr>
            <w:tcW w:w="1936" w:type="dxa"/>
          </w:tcPr>
          <w:p w14:paraId="030D908B" w14:textId="77777777" w:rsidR="00981E1A" w:rsidRPr="00981E1A" w:rsidRDefault="00981E1A" w:rsidP="00981E1A">
            <w:pPr>
              <w:spacing w:before="60" w:after="60"/>
              <w:rPr>
                <w:rFonts w:ascii="Century Gothic" w:hAnsi="Century Gothic"/>
              </w:rPr>
            </w:pPr>
            <w:r w:rsidRPr="00981E1A">
              <w:rPr>
                <w:rFonts w:ascii="Century Gothic" w:hAnsi="Century Gothic"/>
              </w:rPr>
              <w:t>81-85%</w:t>
            </w:r>
            <w:r w:rsidRPr="00981E1A">
              <w:rPr>
                <w:rFonts w:ascii="Century Gothic" w:hAnsi="Century Gothic"/>
                <w:vertAlign w:val="superscript"/>
              </w:rPr>
              <w:t>#</w:t>
            </w:r>
          </w:p>
        </w:tc>
        <w:tc>
          <w:tcPr>
            <w:tcW w:w="1948" w:type="dxa"/>
          </w:tcPr>
          <w:p w14:paraId="3A6EE7B5" w14:textId="77777777" w:rsidR="00981E1A" w:rsidRPr="00981E1A" w:rsidRDefault="00981E1A" w:rsidP="00981E1A">
            <w:pPr>
              <w:spacing w:before="60" w:after="60"/>
              <w:rPr>
                <w:rFonts w:ascii="Century Gothic" w:hAnsi="Century Gothic"/>
              </w:rPr>
            </w:pPr>
            <w:r w:rsidRPr="00981E1A">
              <w:rPr>
                <w:rFonts w:ascii="Century Gothic" w:hAnsi="Century Gothic"/>
              </w:rPr>
              <w:t>86 +%</w:t>
            </w:r>
            <w:r w:rsidRPr="00981E1A">
              <w:rPr>
                <w:rFonts w:ascii="Century Gothic" w:hAnsi="Century Gothic"/>
                <w:vertAlign w:val="superscript"/>
              </w:rPr>
              <w:t>#</w:t>
            </w:r>
          </w:p>
        </w:tc>
      </w:tr>
      <w:tr w:rsidR="00812199" w14:paraId="7DDAAE85" w14:textId="77777777" w:rsidTr="00CD06D2">
        <w:tc>
          <w:tcPr>
            <w:tcW w:w="3196" w:type="dxa"/>
          </w:tcPr>
          <w:p w14:paraId="01D8E86D" w14:textId="77777777" w:rsidR="00812199" w:rsidRPr="00981E1A" w:rsidRDefault="00812199" w:rsidP="0023107A">
            <w:pPr>
              <w:spacing w:before="60" w:after="60"/>
              <w:rPr>
                <w:rFonts w:ascii="Century Gothic" w:hAnsi="Century Gothic"/>
              </w:rPr>
            </w:pPr>
            <w:r>
              <w:rPr>
                <w:rFonts w:ascii="Century Gothic" w:hAnsi="Century Gothic"/>
              </w:rPr>
              <w:t xml:space="preserve">8 </w:t>
            </w:r>
            <w:proofErr w:type="gramStart"/>
            <w:r>
              <w:rPr>
                <w:rFonts w:ascii="Century Gothic" w:hAnsi="Century Gothic"/>
              </w:rPr>
              <w:t xml:space="preserve">-  </w:t>
            </w:r>
            <w:r w:rsidRPr="00981E1A">
              <w:rPr>
                <w:rFonts w:ascii="Century Gothic" w:hAnsi="Century Gothic"/>
              </w:rPr>
              <w:t>Progression</w:t>
            </w:r>
            <w:proofErr w:type="gramEnd"/>
            <w:r w:rsidRPr="00981E1A">
              <w:rPr>
                <w:rFonts w:ascii="Century Gothic" w:hAnsi="Century Gothic"/>
              </w:rPr>
              <w:t xml:space="preserve"> </w:t>
            </w:r>
          </w:p>
        </w:tc>
        <w:tc>
          <w:tcPr>
            <w:tcW w:w="1936" w:type="dxa"/>
          </w:tcPr>
          <w:p w14:paraId="79593E57" w14:textId="77777777" w:rsidR="00812199" w:rsidRPr="00981E1A" w:rsidRDefault="00812199" w:rsidP="00981E1A">
            <w:pPr>
              <w:spacing w:before="60" w:after="60"/>
              <w:rPr>
                <w:rFonts w:ascii="Century Gothic" w:hAnsi="Century Gothic"/>
              </w:rPr>
            </w:pPr>
            <w:r w:rsidRPr="00981E1A">
              <w:rPr>
                <w:rFonts w:ascii="Century Gothic" w:hAnsi="Century Gothic"/>
              </w:rPr>
              <w:t>Positive progression 60% or below</w:t>
            </w:r>
          </w:p>
        </w:tc>
        <w:tc>
          <w:tcPr>
            <w:tcW w:w="1936" w:type="dxa"/>
          </w:tcPr>
          <w:p w14:paraId="6FB977E8" w14:textId="77777777" w:rsidR="00812199" w:rsidRPr="00981E1A" w:rsidRDefault="00812199" w:rsidP="00981E1A">
            <w:pPr>
              <w:spacing w:before="60" w:after="60"/>
              <w:rPr>
                <w:rFonts w:ascii="Century Gothic" w:hAnsi="Century Gothic"/>
              </w:rPr>
            </w:pPr>
            <w:r w:rsidRPr="00981E1A">
              <w:rPr>
                <w:rFonts w:ascii="Century Gothic" w:hAnsi="Century Gothic"/>
              </w:rPr>
              <w:t>61-75%</w:t>
            </w:r>
          </w:p>
        </w:tc>
        <w:tc>
          <w:tcPr>
            <w:tcW w:w="1948" w:type="dxa"/>
          </w:tcPr>
          <w:p w14:paraId="3939EA34" w14:textId="77777777" w:rsidR="00812199" w:rsidRPr="00981E1A" w:rsidRDefault="00812199" w:rsidP="00981E1A">
            <w:pPr>
              <w:spacing w:before="60" w:after="60"/>
              <w:rPr>
                <w:rFonts w:ascii="Century Gothic" w:hAnsi="Century Gothic"/>
              </w:rPr>
            </w:pPr>
            <w:r w:rsidRPr="00981E1A">
              <w:rPr>
                <w:rFonts w:ascii="Century Gothic" w:hAnsi="Century Gothic"/>
              </w:rPr>
              <w:t>76+%</w:t>
            </w:r>
          </w:p>
        </w:tc>
      </w:tr>
      <w:tr w:rsidR="0023107A" w14:paraId="317D328B" w14:textId="77777777" w:rsidTr="00CD06D2">
        <w:tc>
          <w:tcPr>
            <w:tcW w:w="3196" w:type="dxa"/>
          </w:tcPr>
          <w:p w14:paraId="49661828" w14:textId="77777777" w:rsidR="0023107A" w:rsidRPr="00981E1A" w:rsidRDefault="0023107A" w:rsidP="0023107A">
            <w:pPr>
              <w:spacing w:before="60" w:after="60"/>
              <w:rPr>
                <w:rFonts w:ascii="Century Gothic" w:hAnsi="Century Gothic"/>
              </w:rPr>
            </w:pPr>
            <w:r>
              <w:rPr>
                <w:rFonts w:ascii="Century Gothic" w:hAnsi="Century Gothic"/>
              </w:rPr>
              <w:t xml:space="preserve">9 </w:t>
            </w:r>
            <w:proofErr w:type="gramStart"/>
            <w:r>
              <w:rPr>
                <w:rFonts w:ascii="Century Gothic" w:hAnsi="Century Gothic"/>
              </w:rPr>
              <w:t xml:space="preserve">-  </w:t>
            </w:r>
            <w:r w:rsidRPr="00981E1A">
              <w:rPr>
                <w:rFonts w:ascii="Century Gothic" w:hAnsi="Century Gothic"/>
              </w:rPr>
              <w:t>Quality</w:t>
            </w:r>
            <w:proofErr w:type="gramEnd"/>
            <w:r w:rsidRPr="00981E1A">
              <w:rPr>
                <w:rFonts w:ascii="Century Gothic" w:hAnsi="Century Gothic"/>
              </w:rPr>
              <w:t xml:space="preserve"> Management </w:t>
            </w:r>
          </w:p>
        </w:tc>
        <w:tc>
          <w:tcPr>
            <w:tcW w:w="1936" w:type="dxa"/>
          </w:tcPr>
          <w:p w14:paraId="6CB98979" w14:textId="77777777" w:rsidR="0023107A" w:rsidRPr="00981E1A" w:rsidRDefault="0023107A" w:rsidP="00981E1A">
            <w:pPr>
              <w:spacing w:before="60" w:after="60"/>
              <w:rPr>
                <w:rFonts w:ascii="Century Gothic" w:hAnsi="Century Gothic"/>
              </w:rPr>
            </w:pPr>
            <w:r w:rsidRPr="00981E1A">
              <w:rPr>
                <w:rFonts w:ascii="Century Gothic" w:hAnsi="Century Gothic"/>
              </w:rPr>
              <w:t xml:space="preserve">Basic quality policy </w:t>
            </w:r>
          </w:p>
        </w:tc>
        <w:tc>
          <w:tcPr>
            <w:tcW w:w="1936" w:type="dxa"/>
          </w:tcPr>
          <w:p w14:paraId="24DBEA15" w14:textId="77777777" w:rsidR="0023107A" w:rsidRPr="00981E1A" w:rsidRDefault="0023107A" w:rsidP="00981E1A">
            <w:pPr>
              <w:spacing w:before="60" w:after="60"/>
              <w:rPr>
                <w:rFonts w:ascii="Century Gothic" w:hAnsi="Century Gothic"/>
              </w:rPr>
            </w:pPr>
            <w:r w:rsidRPr="00981E1A">
              <w:rPr>
                <w:rFonts w:ascii="Century Gothic" w:hAnsi="Century Gothic"/>
              </w:rPr>
              <w:t xml:space="preserve">Evidence of student voice and lesson observations </w:t>
            </w:r>
          </w:p>
        </w:tc>
        <w:tc>
          <w:tcPr>
            <w:tcW w:w="1948" w:type="dxa"/>
          </w:tcPr>
          <w:p w14:paraId="23AFFCAD" w14:textId="77777777" w:rsidR="0023107A" w:rsidRPr="00981E1A" w:rsidRDefault="0023107A" w:rsidP="00981E1A">
            <w:pPr>
              <w:spacing w:before="60" w:after="60"/>
              <w:rPr>
                <w:rFonts w:ascii="Century Gothic" w:hAnsi="Century Gothic"/>
              </w:rPr>
            </w:pPr>
            <w:proofErr w:type="spellStart"/>
            <w:r w:rsidRPr="00981E1A">
              <w:rPr>
                <w:rFonts w:ascii="Century Gothic" w:hAnsi="Century Gothic"/>
              </w:rPr>
              <w:t>Self assessment</w:t>
            </w:r>
            <w:proofErr w:type="spellEnd"/>
            <w:r w:rsidRPr="00981E1A">
              <w:rPr>
                <w:rFonts w:ascii="Century Gothic" w:hAnsi="Century Gothic"/>
              </w:rPr>
              <w:t xml:space="preserve">, quality improvement activity </w:t>
            </w:r>
          </w:p>
        </w:tc>
      </w:tr>
      <w:tr w:rsidR="0023107A" w14:paraId="1DA351AF" w14:textId="77777777" w:rsidTr="00CD06D2">
        <w:tc>
          <w:tcPr>
            <w:tcW w:w="3196" w:type="dxa"/>
          </w:tcPr>
          <w:p w14:paraId="2B08D317" w14:textId="77777777" w:rsidR="0023107A" w:rsidRPr="00981E1A" w:rsidRDefault="0023107A" w:rsidP="0023107A">
            <w:pPr>
              <w:spacing w:before="60" w:after="60"/>
              <w:rPr>
                <w:rFonts w:ascii="Century Gothic" w:hAnsi="Century Gothic"/>
              </w:rPr>
            </w:pPr>
            <w:r>
              <w:rPr>
                <w:rFonts w:ascii="Century Gothic" w:hAnsi="Century Gothic"/>
              </w:rPr>
              <w:t xml:space="preserve">10 </w:t>
            </w:r>
            <w:proofErr w:type="gramStart"/>
            <w:r>
              <w:rPr>
                <w:rFonts w:ascii="Century Gothic" w:hAnsi="Century Gothic"/>
              </w:rPr>
              <w:t>-  Staff</w:t>
            </w:r>
            <w:proofErr w:type="gramEnd"/>
            <w:r>
              <w:rPr>
                <w:rFonts w:ascii="Century Gothic" w:hAnsi="Century Gothic"/>
              </w:rPr>
              <w:t xml:space="preserve"> Experience</w:t>
            </w:r>
            <w:r w:rsidRPr="0023107A">
              <w:rPr>
                <w:rFonts w:ascii="Century Gothic" w:hAnsi="Century Gothic"/>
                <w:vertAlign w:val="superscript"/>
              </w:rPr>
              <w:t>^</w:t>
            </w:r>
          </w:p>
        </w:tc>
        <w:tc>
          <w:tcPr>
            <w:tcW w:w="1936" w:type="dxa"/>
          </w:tcPr>
          <w:p w14:paraId="0C96F5F8" w14:textId="77777777" w:rsidR="0023107A" w:rsidRPr="00981E1A" w:rsidRDefault="0023107A" w:rsidP="00981E1A">
            <w:pPr>
              <w:spacing w:before="60" w:after="60"/>
              <w:rPr>
                <w:rFonts w:ascii="Century Gothic" w:hAnsi="Century Gothic"/>
              </w:rPr>
            </w:pPr>
            <w:r w:rsidRPr="00981E1A">
              <w:rPr>
                <w:rFonts w:ascii="Century Gothic" w:hAnsi="Century Gothic"/>
              </w:rPr>
              <w:t xml:space="preserve">Recent sector experience and qualifications </w:t>
            </w:r>
          </w:p>
        </w:tc>
        <w:tc>
          <w:tcPr>
            <w:tcW w:w="1936" w:type="dxa"/>
          </w:tcPr>
          <w:p w14:paraId="1666F20E" w14:textId="77777777" w:rsidR="0023107A" w:rsidRPr="00981E1A" w:rsidRDefault="0023107A" w:rsidP="00981E1A">
            <w:pPr>
              <w:spacing w:before="60" w:after="60"/>
              <w:rPr>
                <w:rFonts w:ascii="Century Gothic" w:hAnsi="Century Gothic"/>
              </w:rPr>
            </w:pPr>
            <w:r w:rsidRPr="00981E1A">
              <w:rPr>
                <w:rFonts w:ascii="Century Gothic" w:hAnsi="Century Gothic"/>
              </w:rPr>
              <w:t xml:space="preserve">Recent sector experience and qualifications </w:t>
            </w:r>
          </w:p>
          <w:p w14:paraId="0660B717" w14:textId="77777777" w:rsidR="0023107A" w:rsidRPr="00981E1A" w:rsidRDefault="0023107A" w:rsidP="00981E1A">
            <w:pPr>
              <w:spacing w:before="60" w:after="60"/>
              <w:rPr>
                <w:rFonts w:ascii="Century Gothic" w:hAnsi="Century Gothic"/>
              </w:rPr>
            </w:pPr>
            <w:r w:rsidRPr="00981E1A">
              <w:rPr>
                <w:rFonts w:ascii="Century Gothic" w:hAnsi="Century Gothic"/>
              </w:rPr>
              <w:t>Training/ teaching level 3</w:t>
            </w:r>
          </w:p>
          <w:p w14:paraId="475CA314" w14:textId="77777777" w:rsidR="0023107A" w:rsidRPr="00981E1A" w:rsidRDefault="0023107A" w:rsidP="00981E1A">
            <w:pPr>
              <w:spacing w:before="60" w:after="60"/>
              <w:rPr>
                <w:rFonts w:ascii="Century Gothic" w:hAnsi="Century Gothic"/>
              </w:rPr>
            </w:pPr>
            <w:r w:rsidRPr="00981E1A">
              <w:rPr>
                <w:rFonts w:ascii="Century Gothic" w:hAnsi="Century Gothic"/>
              </w:rPr>
              <w:t>Assessor award</w:t>
            </w:r>
          </w:p>
          <w:p w14:paraId="47E9192C" w14:textId="77777777" w:rsidR="0023107A" w:rsidRPr="00981E1A" w:rsidRDefault="0023107A" w:rsidP="00981E1A">
            <w:pPr>
              <w:spacing w:before="60" w:after="60"/>
              <w:rPr>
                <w:rFonts w:ascii="Century Gothic" w:hAnsi="Century Gothic"/>
              </w:rPr>
            </w:pPr>
            <w:r w:rsidRPr="00981E1A">
              <w:rPr>
                <w:rFonts w:ascii="Century Gothic" w:hAnsi="Century Gothic"/>
              </w:rPr>
              <w:t xml:space="preserve">Internal verification </w:t>
            </w:r>
          </w:p>
        </w:tc>
        <w:tc>
          <w:tcPr>
            <w:tcW w:w="1948" w:type="dxa"/>
          </w:tcPr>
          <w:p w14:paraId="54777DD5" w14:textId="77777777" w:rsidR="0023107A" w:rsidRPr="00981E1A" w:rsidRDefault="0023107A" w:rsidP="00981E1A">
            <w:pPr>
              <w:spacing w:before="60" w:after="60"/>
              <w:rPr>
                <w:rFonts w:ascii="Century Gothic" w:hAnsi="Century Gothic"/>
              </w:rPr>
            </w:pPr>
            <w:r w:rsidRPr="00981E1A">
              <w:rPr>
                <w:rFonts w:ascii="Century Gothic" w:hAnsi="Century Gothic"/>
              </w:rPr>
              <w:t xml:space="preserve">Recent sector experience and qualifications </w:t>
            </w:r>
          </w:p>
          <w:p w14:paraId="07232DD9" w14:textId="77777777" w:rsidR="0023107A" w:rsidRPr="00981E1A" w:rsidRDefault="0023107A" w:rsidP="00981E1A">
            <w:pPr>
              <w:spacing w:before="60" w:after="60"/>
              <w:rPr>
                <w:rFonts w:ascii="Century Gothic" w:hAnsi="Century Gothic"/>
              </w:rPr>
            </w:pPr>
            <w:r w:rsidRPr="00981E1A">
              <w:rPr>
                <w:rFonts w:ascii="Century Gothic" w:hAnsi="Century Gothic"/>
              </w:rPr>
              <w:t xml:space="preserve">Training/ teaching level 4 or above </w:t>
            </w:r>
          </w:p>
          <w:p w14:paraId="6BA28CA9" w14:textId="77777777" w:rsidR="0023107A" w:rsidRPr="00981E1A" w:rsidRDefault="0023107A" w:rsidP="00981E1A">
            <w:pPr>
              <w:spacing w:before="60" w:after="60"/>
              <w:rPr>
                <w:rFonts w:ascii="Century Gothic" w:hAnsi="Century Gothic"/>
              </w:rPr>
            </w:pPr>
            <w:r w:rsidRPr="00981E1A">
              <w:rPr>
                <w:rFonts w:ascii="Century Gothic" w:hAnsi="Century Gothic"/>
              </w:rPr>
              <w:t>Assessor award</w:t>
            </w:r>
          </w:p>
          <w:p w14:paraId="55FB1D63" w14:textId="77777777" w:rsidR="0023107A" w:rsidRPr="00981E1A" w:rsidRDefault="0023107A" w:rsidP="00981E1A">
            <w:pPr>
              <w:spacing w:before="60" w:after="60"/>
              <w:rPr>
                <w:rFonts w:ascii="Century Gothic" w:hAnsi="Century Gothic"/>
              </w:rPr>
            </w:pPr>
            <w:r w:rsidRPr="00981E1A">
              <w:rPr>
                <w:rFonts w:ascii="Century Gothic" w:hAnsi="Century Gothic"/>
              </w:rPr>
              <w:t>Internal verification</w:t>
            </w:r>
          </w:p>
        </w:tc>
      </w:tr>
      <w:tr w:rsidR="00997640" w14:paraId="78DA27A4" w14:textId="77777777" w:rsidTr="00CD06D2">
        <w:tc>
          <w:tcPr>
            <w:tcW w:w="3196" w:type="dxa"/>
          </w:tcPr>
          <w:p w14:paraId="1D815D93" w14:textId="77777777" w:rsidR="00997640" w:rsidRDefault="00997640" w:rsidP="0023107A">
            <w:pPr>
              <w:spacing w:before="60" w:after="60"/>
              <w:rPr>
                <w:rFonts w:ascii="Century Gothic" w:hAnsi="Century Gothic"/>
              </w:rPr>
            </w:pPr>
            <w:r>
              <w:rPr>
                <w:rFonts w:ascii="Century Gothic" w:hAnsi="Century Gothic"/>
              </w:rPr>
              <w:t xml:space="preserve">11- Ability to offer the tender specifications </w:t>
            </w:r>
          </w:p>
          <w:p w14:paraId="06EF9052" w14:textId="77777777" w:rsidR="00997640" w:rsidRDefault="00997640" w:rsidP="0023107A">
            <w:pPr>
              <w:spacing w:before="60" w:after="60"/>
              <w:rPr>
                <w:rFonts w:ascii="Century Gothic" w:hAnsi="Century Gothic"/>
              </w:rPr>
            </w:pPr>
            <w:proofErr w:type="gramStart"/>
            <w:r>
              <w:rPr>
                <w:rFonts w:ascii="Century Gothic" w:hAnsi="Century Gothic"/>
              </w:rPr>
              <w:t>( assessor</w:t>
            </w:r>
            <w:proofErr w:type="gramEnd"/>
            <w:r>
              <w:rPr>
                <w:rFonts w:ascii="Century Gothic" w:hAnsi="Century Gothic"/>
              </w:rPr>
              <w:t xml:space="preserve"> may provide specific feedback on this aspect, but is not mandated in decision making)</w:t>
            </w:r>
          </w:p>
        </w:tc>
        <w:tc>
          <w:tcPr>
            <w:tcW w:w="1936" w:type="dxa"/>
          </w:tcPr>
          <w:p w14:paraId="2F804AF1" w14:textId="77777777" w:rsidR="00997640" w:rsidRPr="00981E1A" w:rsidRDefault="00997640" w:rsidP="00981E1A">
            <w:pPr>
              <w:spacing w:before="60" w:after="60"/>
              <w:rPr>
                <w:rFonts w:ascii="Century Gothic" w:hAnsi="Century Gothic"/>
              </w:rPr>
            </w:pPr>
            <w:r>
              <w:rPr>
                <w:rFonts w:ascii="Century Gothic" w:hAnsi="Century Gothic"/>
              </w:rPr>
              <w:t xml:space="preserve">Tender response was weak in terms of quality provision and student experience </w:t>
            </w:r>
          </w:p>
        </w:tc>
        <w:tc>
          <w:tcPr>
            <w:tcW w:w="1936" w:type="dxa"/>
          </w:tcPr>
          <w:p w14:paraId="67C7DF62" w14:textId="77777777" w:rsidR="00997640" w:rsidRPr="00981E1A" w:rsidRDefault="00997640" w:rsidP="00981E1A">
            <w:pPr>
              <w:spacing w:before="60" w:after="60"/>
              <w:rPr>
                <w:rFonts w:ascii="Century Gothic" w:hAnsi="Century Gothic"/>
              </w:rPr>
            </w:pPr>
            <w:r>
              <w:rPr>
                <w:rFonts w:ascii="Century Gothic" w:hAnsi="Century Gothic"/>
              </w:rPr>
              <w:t>Tender response was fair in terms of quality provision and student experience</w:t>
            </w:r>
          </w:p>
        </w:tc>
        <w:tc>
          <w:tcPr>
            <w:tcW w:w="1948" w:type="dxa"/>
          </w:tcPr>
          <w:p w14:paraId="79D198A7" w14:textId="77777777" w:rsidR="00997640" w:rsidRPr="00981E1A" w:rsidRDefault="00997640" w:rsidP="00981E1A">
            <w:pPr>
              <w:spacing w:before="60" w:after="60"/>
              <w:rPr>
                <w:rFonts w:ascii="Century Gothic" w:hAnsi="Century Gothic"/>
              </w:rPr>
            </w:pPr>
            <w:r>
              <w:rPr>
                <w:rFonts w:ascii="Century Gothic" w:hAnsi="Century Gothic"/>
              </w:rPr>
              <w:t>Tender response was strong in terms of quality provision and student experience</w:t>
            </w:r>
          </w:p>
        </w:tc>
      </w:tr>
      <w:tr w:rsidR="00C17941" w14:paraId="3EE220EF" w14:textId="77777777" w:rsidTr="00CD06D2">
        <w:tc>
          <w:tcPr>
            <w:tcW w:w="3196" w:type="dxa"/>
          </w:tcPr>
          <w:p w14:paraId="5E48973B" w14:textId="07471007" w:rsidR="00C17941" w:rsidRDefault="00C17941" w:rsidP="0023107A">
            <w:pPr>
              <w:spacing w:before="60" w:after="60"/>
              <w:rPr>
                <w:rFonts w:ascii="Century Gothic" w:hAnsi="Century Gothic"/>
              </w:rPr>
            </w:pPr>
            <w:r>
              <w:rPr>
                <w:rFonts w:ascii="Century Gothic" w:hAnsi="Century Gothic"/>
              </w:rPr>
              <w:t xml:space="preserve">Quality of application </w:t>
            </w:r>
          </w:p>
        </w:tc>
        <w:tc>
          <w:tcPr>
            <w:tcW w:w="1936" w:type="dxa"/>
          </w:tcPr>
          <w:p w14:paraId="21DE8947" w14:textId="77777777" w:rsidR="00C17941" w:rsidRDefault="00C17941" w:rsidP="00981E1A">
            <w:pPr>
              <w:spacing w:before="60" w:after="60"/>
              <w:rPr>
                <w:rFonts w:ascii="Century Gothic" w:hAnsi="Century Gothic"/>
              </w:rPr>
            </w:pPr>
          </w:p>
        </w:tc>
        <w:tc>
          <w:tcPr>
            <w:tcW w:w="1936" w:type="dxa"/>
          </w:tcPr>
          <w:p w14:paraId="71453046" w14:textId="77777777" w:rsidR="00C17941" w:rsidRDefault="00C17941" w:rsidP="00981E1A">
            <w:pPr>
              <w:spacing w:before="60" w:after="60"/>
              <w:rPr>
                <w:rFonts w:ascii="Century Gothic" w:hAnsi="Century Gothic"/>
              </w:rPr>
            </w:pPr>
          </w:p>
        </w:tc>
        <w:tc>
          <w:tcPr>
            <w:tcW w:w="1948" w:type="dxa"/>
          </w:tcPr>
          <w:p w14:paraId="0659D236" w14:textId="77777777" w:rsidR="00C17941" w:rsidRDefault="00C17941" w:rsidP="00981E1A">
            <w:pPr>
              <w:spacing w:before="60" w:after="60"/>
              <w:rPr>
                <w:rFonts w:ascii="Century Gothic" w:hAnsi="Century Gothic"/>
              </w:rPr>
            </w:pPr>
          </w:p>
        </w:tc>
      </w:tr>
    </w:tbl>
    <w:p w14:paraId="642FAAD9" w14:textId="5236B05D" w:rsidR="00D45F06" w:rsidRDefault="00981E1A" w:rsidP="00981E1A">
      <w:pPr>
        <w:spacing w:before="120" w:after="0" w:line="240" w:lineRule="auto"/>
        <w:rPr>
          <w:rFonts w:ascii="Century Gothic" w:hAnsi="Century Gothic"/>
        </w:rPr>
      </w:pPr>
      <w:r w:rsidRPr="00981E1A">
        <w:rPr>
          <w:rFonts w:ascii="Century Gothic" w:hAnsi="Century Gothic"/>
          <w:vertAlign w:val="superscript"/>
        </w:rPr>
        <w:t>#</w:t>
      </w:r>
      <w:r>
        <w:rPr>
          <w:rFonts w:ascii="Century Gothic" w:hAnsi="Century Gothic"/>
          <w:vertAlign w:val="superscript"/>
        </w:rPr>
        <w:t xml:space="preserve"> </w:t>
      </w:r>
      <w:r w:rsidRPr="00812199">
        <w:rPr>
          <w:rFonts w:ascii="Century Gothic" w:hAnsi="Century Gothic"/>
        </w:rPr>
        <w:t xml:space="preserve">- </w:t>
      </w:r>
      <w:r w:rsidR="00812199" w:rsidRPr="00812199">
        <w:rPr>
          <w:rFonts w:ascii="Century Gothic" w:hAnsi="Century Gothic"/>
        </w:rPr>
        <w:t>Average</w:t>
      </w:r>
      <w:r w:rsidR="00997640">
        <w:rPr>
          <w:rFonts w:ascii="Century Gothic" w:hAnsi="Century Gothic"/>
        </w:rPr>
        <w:t xml:space="preserve"> for </w:t>
      </w:r>
      <w:r w:rsidR="004058A9">
        <w:rPr>
          <w:rFonts w:ascii="Century Gothic" w:hAnsi="Century Gothic"/>
        </w:rPr>
        <w:t>last 2 years</w:t>
      </w:r>
    </w:p>
    <w:p w14:paraId="13BA32CF" w14:textId="77777777" w:rsidR="0023107A" w:rsidRDefault="0023107A" w:rsidP="00981E1A">
      <w:pPr>
        <w:spacing w:before="120" w:after="0" w:line="240" w:lineRule="auto"/>
        <w:rPr>
          <w:rFonts w:ascii="Century Gothic" w:hAnsi="Century Gothic"/>
        </w:rPr>
      </w:pPr>
      <w:r w:rsidRPr="0023107A">
        <w:rPr>
          <w:rFonts w:ascii="Century Gothic" w:hAnsi="Century Gothic"/>
          <w:vertAlign w:val="superscript"/>
        </w:rPr>
        <w:t>^</w:t>
      </w:r>
      <w:r>
        <w:rPr>
          <w:rFonts w:ascii="Century Gothic" w:hAnsi="Century Gothic"/>
          <w:vertAlign w:val="superscript"/>
        </w:rPr>
        <w:t xml:space="preserve"> </w:t>
      </w:r>
      <w:r w:rsidRPr="0023107A">
        <w:rPr>
          <w:rFonts w:ascii="Century Gothic" w:hAnsi="Century Gothic"/>
        </w:rPr>
        <w:t>- A</w:t>
      </w:r>
      <w:r w:rsidRPr="00981E1A">
        <w:rPr>
          <w:rFonts w:ascii="Century Gothic" w:hAnsi="Century Gothic"/>
        </w:rPr>
        <w:t>verage for all staff declared</w:t>
      </w:r>
    </w:p>
    <w:p w14:paraId="693BD8DB" w14:textId="77777777" w:rsidR="005D11A2" w:rsidRDefault="005D11A2" w:rsidP="00981E1A">
      <w:pPr>
        <w:spacing w:before="120" w:after="0" w:line="240" w:lineRule="auto"/>
        <w:rPr>
          <w:rFonts w:ascii="Century Gothic" w:hAnsi="Century Gothic"/>
        </w:rPr>
      </w:pPr>
    </w:p>
    <w:p w14:paraId="37FB4976" w14:textId="77777777" w:rsidR="005D11A2" w:rsidRDefault="005D11A2">
      <w:pPr>
        <w:rPr>
          <w:rFonts w:ascii="Century Gothic" w:hAnsi="Century Gothic"/>
        </w:rPr>
      </w:pPr>
      <w:r>
        <w:rPr>
          <w:rFonts w:ascii="Century Gothic" w:hAnsi="Century Gothic"/>
        </w:rPr>
        <w:br w:type="page"/>
      </w:r>
    </w:p>
    <w:p w14:paraId="3E3E1008" w14:textId="6BD12114" w:rsidR="005D11A2" w:rsidRDefault="005D11A2" w:rsidP="005D11A2">
      <w:pPr>
        <w:spacing w:after="0" w:line="240" w:lineRule="auto"/>
        <w:rPr>
          <w:rFonts w:ascii="Century Gothic" w:hAnsi="Century Gothic"/>
          <w:b/>
          <w:sz w:val="24"/>
          <w:szCs w:val="24"/>
        </w:rPr>
      </w:pPr>
      <w:r w:rsidRPr="00794E1B">
        <w:rPr>
          <w:rFonts w:ascii="Century Gothic" w:hAnsi="Century Gothic"/>
          <w:noProof/>
          <w:highlight w:val="yellow"/>
          <w:lang w:eastAsia="en-GB"/>
        </w:rPr>
        <w:lastRenderedPageBreak/>
        <w:drawing>
          <wp:anchor distT="0" distB="0" distL="114300" distR="114300" simplePos="0" relativeHeight="251658245" behindDoc="0" locked="0" layoutInCell="1" allowOverlap="1" wp14:anchorId="0CAB8E7F" wp14:editId="2C864AB9">
            <wp:simplePos x="0" y="0"/>
            <wp:positionH relativeFrom="margin">
              <wp:align>right</wp:align>
            </wp:positionH>
            <wp:positionV relativeFrom="paragraph">
              <wp:posOffset>-140446</wp:posOffset>
            </wp:positionV>
            <wp:extent cx="842838" cy="580483"/>
            <wp:effectExtent l="0" t="0" r="0" b="0"/>
            <wp:wrapNone/>
            <wp:docPr id="6" name="Picture 6" descr="\\fs2\StaffDesktops\t.bright\Desktop\ECC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StaffDesktops\t.bright\Desktop\ECC logo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838" cy="5804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4E1B">
        <w:rPr>
          <w:rFonts w:ascii="Century Gothic" w:hAnsi="Century Gothic"/>
          <w:b/>
          <w:sz w:val="24"/>
          <w:szCs w:val="24"/>
          <w:highlight w:val="yellow"/>
        </w:rPr>
        <w:t>Appendix 5 – Sub-</w:t>
      </w:r>
      <w:r w:rsidRPr="00B70FB1">
        <w:rPr>
          <w:rFonts w:ascii="Century Gothic" w:hAnsi="Century Gothic"/>
          <w:b/>
          <w:sz w:val="24"/>
          <w:szCs w:val="24"/>
          <w:highlight w:val="yellow"/>
        </w:rPr>
        <w:t xml:space="preserve">contracting Policy </w:t>
      </w:r>
      <w:r w:rsidR="00CD06D2" w:rsidRPr="00B70FB1">
        <w:rPr>
          <w:rFonts w:ascii="Century Gothic" w:hAnsi="Century Gothic"/>
          <w:b/>
          <w:sz w:val="24"/>
          <w:szCs w:val="24"/>
          <w:highlight w:val="yellow"/>
        </w:rPr>
        <w:t>202</w:t>
      </w:r>
      <w:r w:rsidR="00B70FB1" w:rsidRPr="00B70FB1">
        <w:rPr>
          <w:rFonts w:ascii="Century Gothic" w:hAnsi="Century Gothic"/>
          <w:b/>
          <w:sz w:val="24"/>
          <w:szCs w:val="24"/>
          <w:highlight w:val="yellow"/>
        </w:rPr>
        <w:t>5/26</w:t>
      </w:r>
    </w:p>
    <w:p w14:paraId="6DF9C66A" w14:textId="77777777" w:rsidR="005D11A2" w:rsidRDefault="005D11A2" w:rsidP="005D11A2">
      <w:pPr>
        <w:pStyle w:val="NoSpacing"/>
        <w:ind w:left="720"/>
        <w:rPr>
          <w:rFonts w:ascii="Century Gothic" w:hAnsi="Century Gothic"/>
          <w:b/>
        </w:rPr>
      </w:pPr>
    </w:p>
    <w:p w14:paraId="223DC39A" w14:textId="77777777" w:rsidR="005D11A2" w:rsidRPr="00C55C90" w:rsidRDefault="005D11A2" w:rsidP="005D11A2">
      <w:pPr>
        <w:pStyle w:val="NoSpacing"/>
        <w:numPr>
          <w:ilvl w:val="0"/>
          <w:numId w:val="13"/>
        </w:numPr>
        <w:spacing w:before="120" w:after="120"/>
        <w:ind w:hanging="720"/>
        <w:rPr>
          <w:rFonts w:ascii="Century Gothic" w:hAnsi="Century Gothic"/>
          <w:b/>
        </w:rPr>
      </w:pPr>
      <w:r w:rsidRPr="00C55C90">
        <w:rPr>
          <w:rFonts w:ascii="Century Gothic" w:hAnsi="Century Gothic"/>
          <w:b/>
        </w:rPr>
        <w:t>Introduction and Purpose</w:t>
      </w:r>
    </w:p>
    <w:p w14:paraId="36859E6C" w14:textId="77777777" w:rsidR="005D11A2" w:rsidRPr="00C55C90" w:rsidRDefault="005D11A2" w:rsidP="005D11A2">
      <w:pPr>
        <w:pStyle w:val="NoSpacing"/>
        <w:spacing w:before="120" w:after="120"/>
        <w:ind w:left="720"/>
        <w:rPr>
          <w:rFonts w:ascii="Century Gothic" w:hAnsi="Century Gothic" w:cs="Arial"/>
        </w:rPr>
      </w:pPr>
      <w:r w:rsidRPr="00C55C90">
        <w:rPr>
          <w:rFonts w:ascii="Century Gothic" w:hAnsi="Century Gothic" w:cs="Arial"/>
        </w:rPr>
        <w:t xml:space="preserve">This Policy is a mandatory requirement that must be in place prior to participating in any sub-contracting activity. The Policy has been written in accordance with the Education Skills Funding Agency’s (ESFA) requirements as set out in the current Funding Rules </w:t>
      </w:r>
    </w:p>
    <w:p w14:paraId="3F1B66E8" w14:textId="77777777" w:rsidR="005D11A2" w:rsidRPr="00C55C90" w:rsidRDefault="005D11A2" w:rsidP="005D11A2">
      <w:pPr>
        <w:pStyle w:val="NoSpacing"/>
        <w:spacing w:before="120" w:after="120"/>
        <w:ind w:left="720"/>
        <w:rPr>
          <w:rFonts w:ascii="Century Gothic" w:hAnsi="Century Gothic"/>
          <w:b/>
        </w:rPr>
      </w:pPr>
    </w:p>
    <w:p w14:paraId="1947ABAC" w14:textId="77777777" w:rsidR="005D11A2" w:rsidRPr="00C55C90" w:rsidRDefault="005D11A2" w:rsidP="005D11A2">
      <w:pPr>
        <w:pStyle w:val="NoSpacing"/>
        <w:numPr>
          <w:ilvl w:val="0"/>
          <w:numId w:val="13"/>
        </w:numPr>
        <w:spacing w:before="120" w:after="120"/>
        <w:ind w:hanging="720"/>
        <w:rPr>
          <w:rFonts w:ascii="Century Gothic" w:hAnsi="Century Gothic"/>
          <w:b/>
        </w:rPr>
      </w:pPr>
      <w:r w:rsidRPr="00C55C90">
        <w:rPr>
          <w:rFonts w:ascii="Century Gothic" w:hAnsi="Century Gothic"/>
          <w:b/>
        </w:rPr>
        <w:t>Scope</w:t>
      </w:r>
    </w:p>
    <w:p w14:paraId="6D91B3B5" w14:textId="77777777" w:rsidR="005D11A2" w:rsidRPr="00C55C90" w:rsidRDefault="005D11A2" w:rsidP="005D11A2">
      <w:pPr>
        <w:pStyle w:val="NoSpacing"/>
        <w:spacing w:before="120" w:after="120"/>
        <w:ind w:left="709"/>
        <w:rPr>
          <w:rFonts w:ascii="Century Gothic" w:hAnsi="Century Gothic"/>
          <w:b/>
        </w:rPr>
      </w:pPr>
      <w:r w:rsidRPr="00C55C90">
        <w:rPr>
          <w:rFonts w:ascii="Century Gothic" w:eastAsia="Calibri" w:hAnsi="Century Gothic" w:cs="Arial"/>
        </w:rPr>
        <w:t>The Policy applies to all third party sub-contracted supply chain activity supported with funds supplied by the Education Skills Funding Agency or any successor organisations.</w:t>
      </w:r>
    </w:p>
    <w:p w14:paraId="09A818E0" w14:textId="77777777" w:rsidR="005D11A2" w:rsidRPr="00C55C90" w:rsidRDefault="005D11A2" w:rsidP="005D11A2">
      <w:pPr>
        <w:pStyle w:val="NoSpacing"/>
        <w:spacing w:before="120" w:after="120"/>
        <w:rPr>
          <w:rFonts w:ascii="Century Gothic" w:hAnsi="Century Gothic"/>
        </w:rPr>
      </w:pPr>
    </w:p>
    <w:p w14:paraId="10CEEF11" w14:textId="77777777" w:rsidR="005D11A2" w:rsidRPr="00C55C90" w:rsidRDefault="005D11A2" w:rsidP="005D11A2">
      <w:pPr>
        <w:pStyle w:val="NoSpacing"/>
        <w:numPr>
          <w:ilvl w:val="0"/>
          <w:numId w:val="13"/>
        </w:numPr>
        <w:spacing w:before="120" w:after="120"/>
        <w:ind w:hanging="720"/>
        <w:rPr>
          <w:rFonts w:ascii="Century Gothic" w:hAnsi="Century Gothic"/>
          <w:b/>
        </w:rPr>
      </w:pPr>
      <w:r w:rsidRPr="00C55C90">
        <w:rPr>
          <w:rFonts w:ascii="Century Gothic" w:hAnsi="Century Gothic"/>
          <w:b/>
        </w:rPr>
        <w:t>Disclaimer</w:t>
      </w:r>
    </w:p>
    <w:p w14:paraId="6DB620A9" w14:textId="77777777" w:rsidR="005D11A2" w:rsidRPr="00C55C90" w:rsidRDefault="005D11A2" w:rsidP="005D11A2">
      <w:pPr>
        <w:pStyle w:val="NoSpacing"/>
        <w:spacing w:before="120" w:after="120"/>
        <w:ind w:left="709"/>
        <w:rPr>
          <w:rFonts w:ascii="Century Gothic" w:hAnsi="Century Gothic"/>
          <w:b/>
        </w:rPr>
      </w:pPr>
      <w:r w:rsidRPr="00C55C90">
        <w:rPr>
          <w:rFonts w:ascii="Century Gothic" w:hAnsi="Century Gothic" w:cs="Arial"/>
        </w:rPr>
        <w:t>East Coast College reserves the right to amend its sub-contracting arrangements at any time in accordance with the requirements of the funding bodies and the terms and conditions contained in its standard contract or sub-contracted provision.</w:t>
      </w:r>
    </w:p>
    <w:p w14:paraId="7F0FEA27" w14:textId="77777777" w:rsidR="005D11A2" w:rsidRPr="00C55C90" w:rsidRDefault="005D11A2" w:rsidP="005D11A2">
      <w:pPr>
        <w:pStyle w:val="NoSpacing"/>
        <w:spacing w:before="120" w:after="120"/>
        <w:rPr>
          <w:rFonts w:ascii="Century Gothic" w:hAnsi="Century Gothic"/>
        </w:rPr>
      </w:pPr>
    </w:p>
    <w:p w14:paraId="2096D6A0" w14:textId="77777777" w:rsidR="005D11A2" w:rsidRPr="00C55C90" w:rsidRDefault="005D11A2" w:rsidP="005D11A2">
      <w:pPr>
        <w:pStyle w:val="NoSpacing"/>
        <w:numPr>
          <w:ilvl w:val="0"/>
          <w:numId w:val="13"/>
        </w:numPr>
        <w:spacing w:before="120" w:after="120"/>
        <w:ind w:hanging="720"/>
        <w:rPr>
          <w:rFonts w:ascii="Century Gothic" w:hAnsi="Century Gothic"/>
          <w:b/>
        </w:rPr>
      </w:pPr>
      <w:r w:rsidRPr="00C55C90">
        <w:rPr>
          <w:rFonts w:ascii="Century Gothic" w:hAnsi="Century Gothic"/>
          <w:b/>
        </w:rPr>
        <w:t>Overarching Principle</w:t>
      </w:r>
    </w:p>
    <w:p w14:paraId="55B486B9" w14:textId="77777777" w:rsidR="005D11A2" w:rsidRPr="00C55C90" w:rsidRDefault="005D11A2" w:rsidP="005D11A2">
      <w:pPr>
        <w:pStyle w:val="NoSpacing"/>
        <w:spacing w:before="120" w:after="120"/>
        <w:ind w:left="709"/>
        <w:rPr>
          <w:rFonts w:ascii="Century Gothic" w:hAnsi="Century Gothic"/>
          <w:b/>
        </w:rPr>
      </w:pPr>
      <w:r w:rsidRPr="00C55C90">
        <w:rPr>
          <w:rFonts w:ascii="Century Gothic" w:eastAsia="Calibri" w:hAnsi="Century Gothic" w:cs="Arial"/>
        </w:rPr>
        <w:t>The College will use its supply chains to optimise the impact and effectiveness of service delivery to learners. The College will, therefore, ensure that:</w:t>
      </w:r>
    </w:p>
    <w:p w14:paraId="09A155CE" w14:textId="77777777" w:rsidR="005D11A2" w:rsidRPr="00C55C90" w:rsidRDefault="005D11A2" w:rsidP="005D11A2">
      <w:pPr>
        <w:numPr>
          <w:ilvl w:val="0"/>
          <w:numId w:val="7"/>
        </w:numPr>
        <w:spacing w:before="120" w:after="120" w:line="240" w:lineRule="auto"/>
        <w:ind w:left="1418" w:hanging="425"/>
        <w:rPr>
          <w:rFonts w:ascii="Century Gothic" w:hAnsi="Century Gothic" w:cs="Arial"/>
        </w:rPr>
      </w:pPr>
      <w:r w:rsidRPr="00C55C90">
        <w:rPr>
          <w:rFonts w:ascii="Century Gothic" w:hAnsi="Century Gothic" w:cs="Arial"/>
        </w:rPr>
        <w:t xml:space="preserve">Supply chain management activities comply with the principles of best practice in the skills sector. </w:t>
      </w:r>
    </w:p>
    <w:p w14:paraId="0D657736" w14:textId="77777777" w:rsidR="005D11A2" w:rsidRPr="00C55C90" w:rsidRDefault="005D11A2" w:rsidP="005D11A2">
      <w:pPr>
        <w:numPr>
          <w:ilvl w:val="0"/>
          <w:numId w:val="7"/>
        </w:numPr>
        <w:spacing w:before="120" w:after="120" w:line="240" w:lineRule="auto"/>
        <w:ind w:left="1418" w:hanging="425"/>
        <w:rPr>
          <w:rFonts w:ascii="Century Gothic" w:hAnsi="Century Gothic" w:cs="Arial"/>
        </w:rPr>
      </w:pPr>
      <w:r w:rsidRPr="00C55C90">
        <w:rPr>
          <w:rFonts w:ascii="Century Gothic" w:hAnsi="Century Gothic" w:cs="Arial"/>
        </w:rPr>
        <w:t>The College will at all times undertake fair and transparent procurement activities, conducting robust due diligence procedures on potential subcontractors to ensure the highest quality of learning delivery is made available, demonstrating value for money and a positive impact on the lives of learners</w:t>
      </w:r>
    </w:p>
    <w:p w14:paraId="089B0F03" w14:textId="77777777" w:rsidR="005D11A2" w:rsidRPr="00C55C90" w:rsidRDefault="005D11A2" w:rsidP="005D11A2">
      <w:pPr>
        <w:numPr>
          <w:ilvl w:val="0"/>
          <w:numId w:val="7"/>
        </w:numPr>
        <w:spacing w:before="120" w:after="120" w:line="240" w:lineRule="auto"/>
        <w:ind w:left="1418" w:hanging="425"/>
        <w:rPr>
          <w:rFonts w:ascii="Century Gothic" w:hAnsi="Century Gothic" w:cs="Arial"/>
        </w:rPr>
      </w:pPr>
      <w:r w:rsidRPr="00C55C90">
        <w:rPr>
          <w:rFonts w:ascii="Century Gothic" w:hAnsi="Century Gothic" w:cs="Arial"/>
        </w:rPr>
        <w:t>The funding that is retained by the College will be related to the costs of the services provided. These services, and the levels of funding being retained for them, will be clearly documented and agreed by all parties. The rates of such retained funding will be commercially viable for both sides and will be negotiated and agreed in a fair and transparent manner. They will be proportionate to the actual services being provided</w:t>
      </w:r>
    </w:p>
    <w:p w14:paraId="3F9BA900" w14:textId="77777777" w:rsidR="005D11A2" w:rsidRPr="00C55C90" w:rsidRDefault="005D11A2" w:rsidP="005D11A2">
      <w:pPr>
        <w:numPr>
          <w:ilvl w:val="0"/>
          <w:numId w:val="7"/>
        </w:numPr>
        <w:spacing w:before="120" w:after="120" w:line="240" w:lineRule="auto"/>
        <w:ind w:left="1418" w:hanging="425"/>
        <w:rPr>
          <w:rFonts w:ascii="Century Gothic" w:hAnsi="Century Gothic" w:cs="Arial"/>
        </w:rPr>
      </w:pPr>
      <w:r w:rsidRPr="00C55C90">
        <w:rPr>
          <w:rFonts w:ascii="Century Gothic" w:hAnsi="Century Gothic" w:cs="Arial"/>
        </w:rPr>
        <w:t>Contract documents will require both parties to agree that the achievements of the sub-contracting are attained through adherence to both the letter and spirit of contracts or partnerships. Signatories therefore commit that all discussions, communications, negotiations and actions undertaken to build, maintain and develop supply chains will be conducted in good faith in accordance with the overarching principle.</w:t>
      </w:r>
    </w:p>
    <w:p w14:paraId="51AF46B5" w14:textId="77777777" w:rsidR="005D11A2" w:rsidRPr="00C55C90" w:rsidRDefault="005D11A2" w:rsidP="005D11A2">
      <w:pPr>
        <w:pStyle w:val="NoSpacing"/>
        <w:spacing w:before="120" w:after="120"/>
        <w:rPr>
          <w:rFonts w:ascii="Century Gothic" w:hAnsi="Century Gothic"/>
        </w:rPr>
      </w:pPr>
    </w:p>
    <w:p w14:paraId="4C386233" w14:textId="77777777" w:rsidR="005D11A2" w:rsidRPr="00C55C90" w:rsidRDefault="005D11A2" w:rsidP="005D11A2">
      <w:pPr>
        <w:pStyle w:val="NoSpacing"/>
        <w:numPr>
          <w:ilvl w:val="0"/>
          <w:numId w:val="13"/>
        </w:numPr>
        <w:spacing w:before="120" w:after="120"/>
        <w:ind w:hanging="720"/>
        <w:rPr>
          <w:rFonts w:ascii="Century Gothic" w:hAnsi="Century Gothic"/>
          <w:b/>
        </w:rPr>
      </w:pPr>
      <w:r>
        <w:rPr>
          <w:rFonts w:ascii="Century Gothic" w:hAnsi="Century Gothic"/>
          <w:b/>
        </w:rPr>
        <w:t>Rationale for S</w:t>
      </w:r>
      <w:r w:rsidRPr="00C55C90">
        <w:rPr>
          <w:rFonts w:ascii="Century Gothic" w:hAnsi="Century Gothic"/>
          <w:b/>
        </w:rPr>
        <w:t xml:space="preserve">ub-contracting </w:t>
      </w:r>
    </w:p>
    <w:p w14:paraId="2A1C0D34" w14:textId="77777777" w:rsidR="005D11A2" w:rsidRPr="00C55C90" w:rsidRDefault="005D11A2" w:rsidP="005D11A2">
      <w:pPr>
        <w:pStyle w:val="NoSpacing"/>
        <w:spacing w:before="120" w:after="120"/>
        <w:ind w:left="709"/>
        <w:rPr>
          <w:rFonts w:ascii="Century Gothic" w:hAnsi="Century Gothic" w:cs="Arial"/>
        </w:rPr>
      </w:pPr>
      <w:r w:rsidRPr="00C55C90">
        <w:rPr>
          <w:rFonts w:ascii="Century Gothic" w:hAnsi="Century Gothic" w:cs="Arial"/>
        </w:rPr>
        <w:t>The College engages with sub-contractors in order to:</w:t>
      </w:r>
    </w:p>
    <w:p w14:paraId="11335318" w14:textId="77777777" w:rsidR="005D11A2" w:rsidRPr="00C55C90" w:rsidRDefault="005D11A2" w:rsidP="005D11A2">
      <w:pPr>
        <w:pStyle w:val="NoSpacing"/>
        <w:numPr>
          <w:ilvl w:val="0"/>
          <w:numId w:val="12"/>
        </w:numPr>
        <w:spacing w:before="120" w:after="120"/>
        <w:ind w:left="1418"/>
        <w:rPr>
          <w:rFonts w:ascii="Century Gothic" w:hAnsi="Century Gothic"/>
        </w:rPr>
      </w:pPr>
      <w:r w:rsidRPr="00C55C90">
        <w:rPr>
          <w:rFonts w:ascii="Century Gothic" w:hAnsi="Century Gothic"/>
        </w:rPr>
        <w:t>Enhance the opportunities available to young people and adults</w:t>
      </w:r>
    </w:p>
    <w:p w14:paraId="790772F7" w14:textId="77777777" w:rsidR="005D11A2" w:rsidRPr="00C55C90" w:rsidRDefault="005D11A2" w:rsidP="005D11A2">
      <w:pPr>
        <w:pStyle w:val="NoSpacing"/>
        <w:numPr>
          <w:ilvl w:val="0"/>
          <w:numId w:val="12"/>
        </w:numPr>
        <w:spacing w:before="120" w:after="120"/>
        <w:ind w:left="1418"/>
        <w:rPr>
          <w:rFonts w:ascii="Century Gothic" w:hAnsi="Century Gothic"/>
        </w:rPr>
      </w:pPr>
      <w:r w:rsidRPr="00C55C90">
        <w:rPr>
          <w:rFonts w:ascii="Century Gothic" w:hAnsi="Century Gothic"/>
        </w:rPr>
        <w:lastRenderedPageBreak/>
        <w:t>Fill gaps in niche or expert provision, or provide better access to training facilities</w:t>
      </w:r>
    </w:p>
    <w:p w14:paraId="2DD2773A" w14:textId="77777777" w:rsidR="005D11A2" w:rsidRPr="00C55C90" w:rsidRDefault="005D11A2" w:rsidP="005D11A2">
      <w:pPr>
        <w:pStyle w:val="NoSpacing"/>
        <w:numPr>
          <w:ilvl w:val="0"/>
          <w:numId w:val="12"/>
        </w:numPr>
        <w:spacing w:before="120" w:after="120"/>
        <w:ind w:left="1418"/>
        <w:rPr>
          <w:rFonts w:ascii="Century Gothic" w:hAnsi="Century Gothic"/>
        </w:rPr>
      </w:pPr>
      <w:r w:rsidRPr="00C55C90">
        <w:rPr>
          <w:rFonts w:ascii="Century Gothic" w:hAnsi="Century Gothic"/>
        </w:rPr>
        <w:t>Support better geographical access for learners</w:t>
      </w:r>
    </w:p>
    <w:p w14:paraId="7E34AB88" w14:textId="77777777" w:rsidR="005D11A2" w:rsidRPr="00C55C90" w:rsidRDefault="005D11A2" w:rsidP="005D11A2">
      <w:pPr>
        <w:pStyle w:val="NoSpacing"/>
        <w:numPr>
          <w:ilvl w:val="0"/>
          <w:numId w:val="12"/>
        </w:numPr>
        <w:spacing w:before="120" w:after="120"/>
        <w:ind w:left="1418"/>
        <w:rPr>
          <w:rFonts w:ascii="Century Gothic" w:hAnsi="Century Gothic"/>
        </w:rPr>
      </w:pPr>
      <w:r w:rsidRPr="00C55C90">
        <w:rPr>
          <w:rFonts w:ascii="Century Gothic" w:hAnsi="Century Gothic"/>
        </w:rPr>
        <w:t>Offer an entry point for disadvantaged groups</w:t>
      </w:r>
    </w:p>
    <w:p w14:paraId="45A57AD7" w14:textId="77777777" w:rsidR="005D11A2" w:rsidRPr="00C55C90" w:rsidRDefault="005D11A2" w:rsidP="005D11A2">
      <w:pPr>
        <w:pStyle w:val="NoSpacing"/>
        <w:numPr>
          <w:ilvl w:val="0"/>
          <w:numId w:val="12"/>
        </w:numPr>
        <w:spacing w:before="120" w:after="120"/>
        <w:ind w:left="1418"/>
        <w:rPr>
          <w:rFonts w:ascii="Century Gothic" w:hAnsi="Century Gothic" w:cs="Arial"/>
        </w:rPr>
      </w:pPr>
      <w:r w:rsidRPr="00C55C90">
        <w:rPr>
          <w:rFonts w:ascii="Century Gothic" w:hAnsi="Century Gothic" w:cs="Arial"/>
          <w:color w:val="000000"/>
        </w:rPr>
        <w:t>Provide consideration for the impact on individuals who share protected characteristics</w:t>
      </w:r>
    </w:p>
    <w:p w14:paraId="78665C73" w14:textId="77777777" w:rsidR="005D11A2" w:rsidRPr="00C55C90" w:rsidRDefault="005D11A2" w:rsidP="005D11A2">
      <w:pPr>
        <w:spacing w:before="120" w:after="120" w:line="240" w:lineRule="auto"/>
        <w:ind w:left="709"/>
        <w:rPr>
          <w:rFonts w:ascii="Century Gothic" w:hAnsi="Century Gothic" w:cs="Arial"/>
        </w:rPr>
      </w:pPr>
      <w:r w:rsidRPr="00C55C90">
        <w:rPr>
          <w:rFonts w:ascii="Century Gothic" w:hAnsi="Century Gothic" w:cs="Arial"/>
        </w:rPr>
        <w:t>Provision that meets one or more of the following criteria will be prioritised:</w:t>
      </w:r>
    </w:p>
    <w:p w14:paraId="09F59986" w14:textId="77777777" w:rsidR="005D11A2" w:rsidRPr="00C55C90" w:rsidRDefault="005D11A2" w:rsidP="005D11A2">
      <w:pPr>
        <w:pStyle w:val="ListParagraph"/>
        <w:numPr>
          <w:ilvl w:val="0"/>
          <w:numId w:val="8"/>
        </w:numPr>
        <w:spacing w:before="120" w:after="120" w:line="240" w:lineRule="auto"/>
        <w:ind w:left="1418" w:hanging="425"/>
        <w:contextualSpacing w:val="0"/>
        <w:rPr>
          <w:rFonts w:ascii="Century Gothic" w:hAnsi="Century Gothic" w:cs="Arial"/>
        </w:rPr>
      </w:pPr>
      <w:r w:rsidRPr="00C55C90">
        <w:rPr>
          <w:rFonts w:ascii="Century Gothic" w:hAnsi="Century Gothic" w:cs="Arial"/>
        </w:rPr>
        <w:t>It meets the needs of residents and employers of Great Yarmouth, Lowestoft and immediate regional adjacencies</w:t>
      </w:r>
    </w:p>
    <w:p w14:paraId="2E0F52F7" w14:textId="77777777" w:rsidR="005D11A2" w:rsidRPr="00C55C90" w:rsidRDefault="005D11A2" w:rsidP="005D11A2">
      <w:pPr>
        <w:pStyle w:val="ListParagraph"/>
        <w:numPr>
          <w:ilvl w:val="0"/>
          <w:numId w:val="8"/>
        </w:numPr>
        <w:spacing w:before="120" w:after="120" w:line="240" w:lineRule="auto"/>
        <w:ind w:left="1418" w:hanging="425"/>
        <w:contextualSpacing w:val="0"/>
        <w:rPr>
          <w:rFonts w:ascii="Century Gothic" w:hAnsi="Century Gothic" w:cs="Arial"/>
        </w:rPr>
      </w:pPr>
      <w:r w:rsidRPr="00C55C90">
        <w:rPr>
          <w:rFonts w:ascii="Century Gothic" w:hAnsi="Century Gothic" w:cs="Arial"/>
        </w:rPr>
        <w:t>It supplements and does not duplicate the College’s curriculum offer</w:t>
      </w:r>
    </w:p>
    <w:p w14:paraId="1CEEAACB" w14:textId="77777777" w:rsidR="005D11A2" w:rsidRPr="00C55C90" w:rsidRDefault="005D11A2" w:rsidP="005D11A2">
      <w:pPr>
        <w:pStyle w:val="ListParagraph"/>
        <w:numPr>
          <w:ilvl w:val="0"/>
          <w:numId w:val="8"/>
        </w:numPr>
        <w:spacing w:before="120" w:after="120" w:line="240" w:lineRule="auto"/>
        <w:ind w:left="1418" w:hanging="425"/>
        <w:contextualSpacing w:val="0"/>
        <w:rPr>
          <w:rFonts w:ascii="Century Gothic" w:hAnsi="Century Gothic" w:cs="Arial"/>
        </w:rPr>
      </w:pPr>
      <w:r w:rsidRPr="00C55C90">
        <w:rPr>
          <w:rFonts w:ascii="Century Gothic" w:hAnsi="Century Gothic" w:cs="Arial"/>
        </w:rPr>
        <w:t>It offers progression opportunities into the College</w:t>
      </w:r>
    </w:p>
    <w:p w14:paraId="0B1AF827" w14:textId="77777777" w:rsidR="005D11A2" w:rsidRPr="00C55C90" w:rsidRDefault="005D11A2" w:rsidP="005D11A2">
      <w:pPr>
        <w:spacing w:before="120" w:after="120" w:line="240" w:lineRule="auto"/>
        <w:rPr>
          <w:rFonts w:ascii="Century Gothic" w:hAnsi="Century Gothic" w:cs="Arial"/>
        </w:rPr>
      </w:pPr>
    </w:p>
    <w:p w14:paraId="24AEB1CF" w14:textId="77777777" w:rsidR="005D11A2" w:rsidRPr="00C55C90" w:rsidRDefault="005D11A2" w:rsidP="005D11A2">
      <w:pPr>
        <w:pStyle w:val="NoSpacing"/>
        <w:numPr>
          <w:ilvl w:val="0"/>
          <w:numId w:val="13"/>
        </w:numPr>
        <w:spacing w:before="120" w:after="120"/>
        <w:ind w:hanging="720"/>
        <w:rPr>
          <w:rFonts w:ascii="Century Gothic" w:hAnsi="Century Gothic"/>
          <w:b/>
        </w:rPr>
      </w:pPr>
      <w:r w:rsidRPr="00C55C90">
        <w:rPr>
          <w:rFonts w:ascii="Century Gothic" w:hAnsi="Century Gothic"/>
          <w:b/>
        </w:rPr>
        <w:t>Quality Assurance</w:t>
      </w:r>
    </w:p>
    <w:p w14:paraId="5CE80A2B" w14:textId="77777777" w:rsidR="005D11A2" w:rsidRPr="00C55C90" w:rsidRDefault="005D11A2" w:rsidP="005D11A2">
      <w:pPr>
        <w:pStyle w:val="NoSpacing"/>
        <w:spacing w:before="120" w:after="120"/>
        <w:ind w:left="709"/>
        <w:rPr>
          <w:rFonts w:ascii="Century Gothic" w:hAnsi="Century Gothic"/>
        </w:rPr>
      </w:pPr>
      <w:r>
        <w:rPr>
          <w:rFonts w:ascii="Century Gothic" w:hAnsi="Century Gothic"/>
        </w:rPr>
        <w:t>Sub-</w:t>
      </w:r>
      <w:r w:rsidRPr="00C55C90">
        <w:rPr>
          <w:rFonts w:ascii="Century Gothic" w:hAnsi="Century Gothic"/>
        </w:rPr>
        <w:t>contracted activity is an important part of the College’s provision. The quality of the provision will be monitored and managed through the existing College Quality Assurance processes and procedures, as amended in order to fully encompass all sub- contracted activity.</w:t>
      </w:r>
    </w:p>
    <w:p w14:paraId="4CDB07C2" w14:textId="77777777" w:rsidR="005D11A2" w:rsidRPr="00C55C90" w:rsidRDefault="005D11A2" w:rsidP="005D11A2">
      <w:pPr>
        <w:pStyle w:val="NoSpacing"/>
        <w:spacing w:before="120" w:after="120"/>
        <w:ind w:left="709" w:hanging="426"/>
        <w:rPr>
          <w:rFonts w:ascii="Century Gothic" w:hAnsi="Century Gothic"/>
        </w:rPr>
      </w:pPr>
      <w:r w:rsidRPr="00C55C90">
        <w:rPr>
          <w:rFonts w:ascii="Century Gothic" w:hAnsi="Century Gothic"/>
        </w:rPr>
        <w:tab/>
        <w:t xml:space="preserve">This Policy positions sub-contracted provision as a core part of </w:t>
      </w:r>
      <w:proofErr w:type="gramStart"/>
      <w:r w:rsidRPr="00C55C90">
        <w:rPr>
          <w:rFonts w:ascii="Century Gothic" w:hAnsi="Century Gothic"/>
        </w:rPr>
        <w:t>College</w:t>
      </w:r>
      <w:proofErr w:type="gramEnd"/>
      <w:r w:rsidRPr="00C55C90">
        <w:rPr>
          <w:rFonts w:ascii="Century Gothic" w:hAnsi="Century Gothic"/>
        </w:rPr>
        <w:t xml:space="preserve"> activity to enable continuous improvements in the quality of teaching and learning for both the college and its subcontractors. This will be achieved through the sharing of effective practice across the supply chain.</w:t>
      </w:r>
    </w:p>
    <w:p w14:paraId="09C58C26" w14:textId="77777777" w:rsidR="005D11A2" w:rsidRPr="00C55C90" w:rsidRDefault="005D11A2" w:rsidP="005D11A2">
      <w:pPr>
        <w:pStyle w:val="NoSpacing"/>
        <w:spacing w:before="120" w:after="120"/>
        <w:ind w:left="709" w:hanging="426"/>
        <w:rPr>
          <w:rFonts w:ascii="Century Gothic" w:hAnsi="Century Gothic"/>
        </w:rPr>
      </w:pPr>
      <w:r w:rsidRPr="00C55C90">
        <w:rPr>
          <w:rFonts w:ascii="Century Gothic" w:hAnsi="Century Gothic"/>
        </w:rPr>
        <w:tab/>
        <w:t>Sub-contracted provision will only be supported with organisations which can demonstrate the actual achievement of, or the potential to rapidly achieve, good quality teaching and learning and success rates which achieve national averages</w:t>
      </w:r>
      <w:r w:rsidRPr="00C55C90">
        <w:rPr>
          <w:rFonts w:ascii="Century Gothic" w:hAnsi="Century Gothic"/>
          <w:color w:val="404040"/>
        </w:rPr>
        <w:t xml:space="preserve">. There is a robust due diligence process to support new and renewing contracts, and this includes financial audit and compliance checks, previous delivery models and outcomes and checks for staffing, health and safety and qualification compliance. </w:t>
      </w:r>
    </w:p>
    <w:p w14:paraId="7A9E4C24" w14:textId="77777777" w:rsidR="005D11A2" w:rsidRPr="00C55C90" w:rsidRDefault="005D11A2" w:rsidP="005D11A2">
      <w:pPr>
        <w:pStyle w:val="NoSpacing"/>
        <w:spacing w:before="120" w:after="120"/>
        <w:ind w:left="709" w:hanging="426"/>
        <w:rPr>
          <w:rFonts w:ascii="Century Gothic" w:hAnsi="Century Gothic"/>
        </w:rPr>
      </w:pPr>
      <w:r w:rsidRPr="00C55C90">
        <w:rPr>
          <w:rFonts w:ascii="Century Gothic" w:hAnsi="Century Gothic"/>
        </w:rPr>
        <w:tab/>
        <w:t xml:space="preserve">East Coast College ensures that its sub-contractors are included in the College’s quality </w:t>
      </w:r>
      <w:r w:rsidRPr="00C55C90">
        <w:rPr>
          <w:rFonts w:ascii="Century Gothic" w:hAnsi="Century Gothic"/>
          <w:color w:val="404040"/>
        </w:rPr>
        <w:t>systems</w:t>
      </w:r>
      <w:r w:rsidRPr="00C55C90">
        <w:rPr>
          <w:rFonts w:ascii="Century Gothic" w:hAnsi="Century Gothic"/>
        </w:rPr>
        <w:t xml:space="preserve"> and are audited and supported by the College to follow this process.</w:t>
      </w:r>
      <w:r w:rsidRPr="00C55C90">
        <w:rPr>
          <w:rFonts w:ascii="Century Gothic" w:hAnsi="Century Gothic"/>
          <w:color w:val="404040"/>
        </w:rPr>
        <w:t xml:space="preserve"> Practices follow a planned quality assurance calendar in which actions include spot checks, register compliance, learner voice, lesson observations, and feedback of tutorials and feedback. Regular contract meetings review progress, and monitoring activities, and a current Quality Improvement Plan (QIP) is held and reviewed.  The contract will highlight clear guidance on actions to take when quality concerns are raised, and mitigation when internal and external changes may impact upon delivery and outcomes</w:t>
      </w:r>
      <w:r w:rsidRPr="00C55C90">
        <w:rPr>
          <w:rFonts w:ascii="Century Gothic" w:hAnsi="Century Gothic"/>
        </w:rPr>
        <w:t xml:space="preserve">. </w:t>
      </w:r>
    </w:p>
    <w:p w14:paraId="25DC0614" w14:textId="77777777" w:rsidR="005D11A2" w:rsidRPr="00C55C90" w:rsidRDefault="005D11A2" w:rsidP="005D11A2">
      <w:pPr>
        <w:pStyle w:val="NoSpacing"/>
        <w:spacing w:before="120" w:after="120"/>
        <w:ind w:left="709" w:hanging="426"/>
        <w:rPr>
          <w:rFonts w:ascii="Century Gothic" w:hAnsi="Century Gothic"/>
        </w:rPr>
      </w:pPr>
      <w:r w:rsidRPr="00C55C90">
        <w:rPr>
          <w:rFonts w:ascii="Century Gothic" w:hAnsi="Century Gothic"/>
        </w:rPr>
        <w:tab/>
        <w:t>The College supports sub-contractors to complete the course review and self-assessment process, including quality improvement plans. It also offers support as required to share good practice through regular quality reviews, observation of teaching, learning and assessment,</w:t>
      </w:r>
      <w:r w:rsidRPr="00C55C90">
        <w:rPr>
          <w:rFonts w:ascii="Century Gothic" w:hAnsi="Century Gothic"/>
          <w:color w:val="404040"/>
        </w:rPr>
        <w:t xml:space="preserve"> the </w:t>
      </w:r>
      <w:r w:rsidRPr="00C55C90">
        <w:rPr>
          <w:rFonts w:ascii="Century Gothic" w:hAnsi="Century Gothic"/>
        </w:rPr>
        <w:t xml:space="preserve">Intensive </w:t>
      </w:r>
      <w:r w:rsidRPr="00C55C90">
        <w:rPr>
          <w:rFonts w:ascii="Century Gothic" w:hAnsi="Century Gothic"/>
          <w:color w:val="404040"/>
        </w:rPr>
        <w:t>C</w:t>
      </w:r>
      <w:r w:rsidRPr="00C55C90">
        <w:rPr>
          <w:rFonts w:ascii="Century Gothic" w:hAnsi="Century Gothic"/>
        </w:rPr>
        <w:t>are process and learner and employer feedback.</w:t>
      </w:r>
    </w:p>
    <w:p w14:paraId="04E1F0A1" w14:textId="77777777" w:rsidR="005D11A2" w:rsidRPr="00C55C90" w:rsidRDefault="005D11A2" w:rsidP="005D11A2">
      <w:pPr>
        <w:pStyle w:val="NoSpacing"/>
        <w:spacing w:before="120" w:after="120"/>
        <w:ind w:left="709" w:hanging="426"/>
        <w:rPr>
          <w:rFonts w:ascii="Century Gothic" w:hAnsi="Century Gothic"/>
          <w:color w:val="404040"/>
        </w:rPr>
      </w:pPr>
      <w:r w:rsidRPr="00C55C90">
        <w:rPr>
          <w:rFonts w:ascii="Century Gothic" w:hAnsi="Century Gothic"/>
        </w:rPr>
        <w:tab/>
        <w:t>Sub-contractors will collect, retain and submit to the College on request all relevant documents and evidence of student activity.</w:t>
      </w:r>
      <w:r w:rsidRPr="00C55C90">
        <w:rPr>
          <w:rFonts w:ascii="Century Gothic" w:hAnsi="Century Gothic"/>
          <w:color w:val="404040"/>
        </w:rPr>
        <w:t xml:space="preserve"> This will be in line with GDPR regulations.</w:t>
      </w:r>
    </w:p>
    <w:p w14:paraId="6AD90F47" w14:textId="77777777" w:rsidR="005D11A2" w:rsidRPr="00C55C90" w:rsidRDefault="005D11A2" w:rsidP="005D11A2">
      <w:pPr>
        <w:pStyle w:val="NoSpacing"/>
        <w:spacing w:before="120" w:after="120"/>
        <w:rPr>
          <w:rFonts w:ascii="Century Gothic" w:hAnsi="Century Gothic"/>
        </w:rPr>
      </w:pPr>
    </w:p>
    <w:p w14:paraId="242BF8E0" w14:textId="77777777" w:rsidR="005D11A2" w:rsidRPr="00C55C90" w:rsidRDefault="005D11A2" w:rsidP="005D11A2">
      <w:pPr>
        <w:pStyle w:val="NoSpacing"/>
        <w:numPr>
          <w:ilvl w:val="0"/>
          <w:numId w:val="13"/>
        </w:numPr>
        <w:spacing w:before="120" w:after="120"/>
        <w:ind w:hanging="720"/>
        <w:rPr>
          <w:rFonts w:ascii="Century Gothic" w:hAnsi="Century Gothic"/>
          <w:b/>
        </w:rPr>
      </w:pPr>
      <w:r>
        <w:rPr>
          <w:rFonts w:ascii="Century Gothic" w:hAnsi="Century Gothic"/>
          <w:b/>
        </w:rPr>
        <w:t>Publication of Information R</w:t>
      </w:r>
      <w:r w:rsidRPr="00C55C90">
        <w:rPr>
          <w:rFonts w:ascii="Century Gothic" w:hAnsi="Century Gothic"/>
          <w:b/>
        </w:rPr>
        <w:t xml:space="preserve">elating to </w:t>
      </w:r>
      <w:r>
        <w:rPr>
          <w:rFonts w:ascii="Century Gothic" w:hAnsi="Century Gothic"/>
          <w:b/>
        </w:rPr>
        <w:t>S</w:t>
      </w:r>
      <w:r w:rsidRPr="00C55C90">
        <w:rPr>
          <w:rFonts w:ascii="Century Gothic" w:hAnsi="Century Gothic"/>
          <w:b/>
        </w:rPr>
        <w:t>ub-contracting</w:t>
      </w:r>
    </w:p>
    <w:p w14:paraId="45F77A5F" w14:textId="77777777" w:rsidR="005D11A2" w:rsidRPr="00C55C90" w:rsidRDefault="005D11A2" w:rsidP="005D11A2">
      <w:pPr>
        <w:pStyle w:val="ListParagraph"/>
        <w:spacing w:before="120" w:after="120" w:line="240" w:lineRule="auto"/>
        <w:ind w:left="709"/>
        <w:contextualSpacing w:val="0"/>
        <w:rPr>
          <w:rFonts w:ascii="Century Gothic" w:hAnsi="Century Gothic"/>
        </w:rPr>
      </w:pPr>
      <w:r w:rsidRPr="00C55C90">
        <w:rPr>
          <w:rFonts w:ascii="Century Gothic" w:hAnsi="Century Gothic"/>
        </w:rPr>
        <w:lastRenderedPageBreak/>
        <w:t xml:space="preserve">In compliance with ESFA and other agency funding rules that apply, the College will publish its sub-contracting rationale, Fees and Charges Policy and actual end-of-year sub-contracting fees and charges before the start of each academic year (and in the case of actual end of year data, as required by ESFA). This will only relate to ‘provision subcontracting’ </w:t>
      </w:r>
      <w:proofErr w:type="gramStart"/>
      <w:r w:rsidRPr="00C55C90">
        <w:rPr>
          <w:rFonts w:ascii="Century Gothic" w:hAnsi="Century Gothic"/>
        </w:rPr>
        <w:t>i.e.</w:t>
      </w:r>
      <w:proofErr w:type="gramEnd"/>
      <w:r w:rsidRPr="00C55C90">
        <w:rPr>
          <w:rFonts w:ascii="Century Gothic" w:hAnsi="Century Gothic"/>
        </w:rPr>
        <w:t xml:space="preserve"> subcontracted delivery of full programmes or apprenticeships. It will not include the delivery of a service as part of the delivery of a programme (for example, buying the delivery of part of an apprenticeship or outreach support). Provision subcontracting lists will be agreed with local ESFA officials prior to publication.</w:t>
      </w:r>
    </w:p>
    <w:p w14:paraId="421E75EA" w14:textId="77777777" w:rsidR="005D11A2" w:rsidRPr="00C55C90" w:rsidRDefault="005D11A2" w:rsidP="005D11A2">
      <w:pPr>
        <w:pStyle w:val="ListParagraph"/>
        <w:spacing w:before="120" w:after="120" w:line="240" w:lineRule="auto"/>
        <w:ind w:left="709"/>
        <w:contextualSpacing w:val="0"/>
        <w:rPr>
          <w:rFonts w:ascii="Century Gothic" w:hAnsi="Century Gothic"/>
        </w:rPr>
      </w:pPr>
      <w:r w:rsidRPr="00C55C90">
        <w:rPr>
          <w:rFonts w:ascii="Century Gothic" w:hAnsi="Century Gothic"/>
        </w:rPr>
        <w:t>The College will ensure all actual and potential subcontractors have access to this policy and any other relevant documents.</w:t>
      </w:r>
    </w:p>
    <w:p w14:paraId="259E5EF6" w14:textId="77777777" w:rsidR="005D11A2" w:rsidRPr="00C55C90" w:rsidRDefault="005D11A2" w:rsidP="005D11A2">
      <w:pPr>
        <w:pStyle w:val="ListParagraph"/>
        <w:spacing w:before="120" w:after="120" w:line="240" w:lineRule="auto"/>
        <w:ind w:left="709"/>
        <w:contextualSpacing w:val="0"/>
        <w:rPr>
          <w:rFonts w:ascii="Century Gothic" w:hAnsi="Century Gothic"/>
        </w:rPr>
      </w:pPr>
      <w:r w:rsidRPr="00C55C90">
        <w:rPr>
          <w:rFonts w:ascii="Century Gothic" w:hAnsi="Century Gothic"/>
        </w:rPr>
        <w:t xml:space="preserve">The College will charge a management fee usually at 20%, unless agreed otherwise, of funding drawn down from the ESFA dependent on the level of support and services given to the respective sub-contractor which </w:t>
      </w:r>
      <w:proofErr w:type="gramStart"/>
      <w:r w:rsidRPr="00C55C90">
        <w:rPr>
          <w:rFonts w:ascii="Century Gothic" w:hAnsi="Century Gothic"/>
        </w:rPr>
        <w:t>includes:-</w:t>
      </w:r>
      <w:proofErr w:type="gramEnd"/>
    </w:p>
    <w:p w14:paraId="47ADCBBF" w14:textId="77777777" w:rsidR="005D11A2" w:rsidRPr="00C55C90" w:rsidRDefault="005D11A2" w:rsidP="005D11A2">
      <w:pPr>
        <w:pStyle w:val="Default"/>
        <w:numPr>
          <w:ilvl w:val="0"/>
          <w:numId w:val="9"/>
        </w:numPr>
        <w:autoSpaceDE/>
        <w:autoSpaceDN/>
        <w:adjustRightInd/>
        <w:spacing w:before="120" w:after="120"/>
        <w:ind w:left="1418" w:hanging="425"/>
        <w:rPr>
          <w:rFonts w:ascii="Century Gothic" w:hAnsi="Century Gothic"/>
          <w:sz w:val="22"/>
          <w:szCs w:val="22"/>
        </w:rPr>
      </w:pPr>
      <w:r w:rsidRPr="00C55C90">
        <w:rPr>
          <w:rFonts w:ascii="Century Gothic" w:hAnsi="Century Gothic"/>
          <w:sz w:val="22"/>
          <w:szCs w:val="22"/>
        </w:rPr>
        <w:t>Provision of a suitably qualified/experienced College liaison officer</w:t>
      </w:r>
    </w:p>
    <w:p w14:paraId="716E4A0E" w14:textId="77777777" w:rsidR="005D11A2" w:rsidRPr="00C55C90" w:rsidRDefault="005D11A2" w:rsidP="005D11A2">
      <w:pPr>
        <w:pStyle w:val="Default"/>
        <w:numPr>
          <w:ilvl w:val="0"/>
          <w:numId w:val="9"/>
        </w:numPr>
        <w:autoSpaceDE/>
        <w:autoSpaceDN/>
        <w:adjustRightInd/>
        <w:spacing w:before="120" w:after="120"/>
        <w:ind w:left="1418" w:hanging="425"/>
        <w:rPr>
          <w:rFonts w:ascii="Century Gothic" w:hAnsi="Century Gothic"/>
          <w:sz w:val="22"/>
          <w:szCs w:val="22"/>
        </w:rPr>
      </w:pPr>
      <w:r w:rsidRPr="00C55C90">
        <w:rPr>
          <w:rFonts w:ascii="Century Gothic" w:hAnsi="Century Gothic"/>
          <w:sz w:val="22"/>
          <w:szCs w:val="22"/>
        </w:rPr>
        <w:t>Advice and guidance at pre-contract stage and due diligence assessment</w:t>
      </w:r>
    </w:p>
    <w:p w14:paraId="2F1BFBF7" w14:textId="77777777" w:rsidR="005D11A2" w:rsidRPr="00C55C90" w:rsidRDefault="005D11A2" w:rsidP="005D11A2">
      <w:pPr>
        <w:pStyle w:val="Default"/>
        <w:numPr>
          <w:ilvl w:val="0"/>
          <w:numId w:val="9"/>
        </w:numPr>
        <w:autoSpaceDE/>
        <w:autoSpaceDN/>
        <w:adjustRightInd/>
        <w:spacing w:before="120" w:after="120"/>
        <w:ind w:left="1418" w:hanging="425"/>
        <w:rPr>
          <w:rFonts w:ascii="Century Gothic" w:hAnsi="Century Gothic"/>
          <w:sz w:val="22"/>
          <w:szCs w:val="22"/>
        </w:rPr>
      </w:pPr>
      <w:r w:rsidRPr="00C55C90">
        <w:rPr>
          <w:rFonts w:ascii="Century Gothic" w:hAnsi="Century Gothic"/>
          <w:sz w:val="22"/>
          <w:szCs w:val="22"/>
        </w:rPr>
        <w:t xml:space="preserve">Enrolment support (e.g. provision of paperwork, advice and guidance on student </w:t>
      </w:r>
      <w:proofErr w:type="gramStart"/>
      <w:r w:rsidRPr="00C55C90">
        <w:rPr>
          <w:rFonts w:ascii="Century Gothic" w:hAnsi="Century Gothic"/>
          <w:sz w:val="22"/>
          <w:szCs w:val="22"/>
        </w:rPr>
        <w:t>eligibility)and</w:t>
      </w:r>
      <w:proofErr w:type="gramEnd"/>
      <w:r w:rsidRPr="00C55C90">
        <w:rPr>
          <w:rFonts w:ascii="Century Gothic" w:hAnsi="Century Gothic"/>
          <w:sz w:val="22"/>
          <w:szCs w:val="22"/>
        </w:rPr>
        <w:t xml:space="preserve"> processing of enrolment documentation</w:t>
      </w:r>
    </w:p>
    <w:p w14:paraId="5F9DF664" w14:textId="77777777" w:rsidR="005D11A2" w:rsidRPr="00C55C90" w:rsidRDefault="005D11A2" w:rsidP="005D11A2">
      <w:pPr>
        <w:pStyle w:val="Default"/>
        <w:numPr>
          <w:ilvl w:val="0"/>
          <w:numId w:val="9"/>
        </w:numPr>
        <w:autoSpaceDE/>
        <w:autoSpaceDN/>
        <w:adjustRightInd/>
        <w:spacing w:before="120" w:after="120"/>
        <w:ind w:left="1418" w:hanging="425"/>
        <w:rPr>
          <w:rFonts w:ascii="Century Gothic" w:hAnsi="Century Gothic"/>
          <w:sz w:val="22"/>
          <w:szCs w:val="22"/>
        </w:rPr>
      </w:pPr>
      <w:r w:rsidRPr="00C55C90">
        <w:rPr>
          <w:rFonts w:ascii="Century Gothic" w:hAnsi="Century Gothic"/>
          <w:sz w:val="22"/>
          <w:szCs w:val="22"/>
        </w:rPr>
        <w:t>Data and financial management – timely and accurate processing and submission of data to enable drawdown of funds from the funding bodies and analysis to ascertain funding earned by sub-contractor and calculation of success rates</w:t>
      </w:r>
    </w:p>
    <w:p w14:paraId="4A0234FE" w14:textId="77777777" w:rsidR="005D11A2" w:rsidRPr="00C55C90" w:rsidRDefault="005D11A2" w:rsidP="005D11A2">
      <w:pPr>
        <w:pStyle w:val="Default"/>
        <w:numPr>
          <w:ilvl w:val="0"/>
          <w:numId w:val="9"/>
        </w:numPr>
        <w:autoSpaceDE/>
        <w:autoSpaceDN/>
        <w:adjustRightInd/>
        <w:spacing w:before="120" w:after="120"/>
        <w:ind w:left="1418" w:hanging="425"/>
        <w:rPr>
          <w:rFonts w:ascii="Century Gothic" w:hAnsi="Century Gothic"/>
          <w:sz w:val="22"/>
          <w:szCs w:val="22"/>
        </w:rPr>
      </w:pPr>
      <w:r w:rsidRPr="00C55C90">
        <w:rPr>
          <w:rFonts w:ascii="Century Gothic" w:hAnsi="Century Gothic"/>
          <w:sz w:val="22"/>
          <w:szCs w:val="22"/>
        </w:rPr>
        <w:t>Provision of regular class lists</w:t>
      </w:r>
    </w:p>
    <w:p w14:paraId="51B7C5DF" w14:textId="77777777" w:rsidR="005D11A2" w:rsidRPr="00C55C90" w:rsidRDefault="005D11A2" w:rsidP="005D11A2">
      <w:pPr>
        <w:pStyle w:val="Default"/>
        <w:numPr>
          <w:ilvl w:val="0"/>
          <w:numId w:val="9"/>
        </w:numPr>
        <w:autoSpaceDE/>
        <w:autoSpaceDN/>
        <w:adjustRightInd/>
        <w:spacing w:before="120" w:after="120"/>
        <w:ind w:left="1418" w:hanging="425"/>
        <w:rPr>
          <w:rFonts w:ascii="Century Gothic" w:hAnsi="Century Gothic"/>
          <w:sz w:val="22"/>
          <w:szCs w:val="22"/>
        </w:rPr>
      </w:pPr>
      <w:r w:rsidRPr="00C55C90">
        <w:rPr>
          <w:rFonts w:ascii="Century Gothic" w:hAnsi="Century Gothic"/>
          <w:sz w:val="22"/>
          <w:szCs w:val="22"/>
        </w:rPr>
        <w:t>Regular review meetings and performance reports</w:t>
      </w:r>
    </w:p>
    <w:p w14:paraId="122ECE70" w14:textId="77777777" w:rsidR="005D11A2" w:rsidRPr="00C55C90" w:rsidRDefault="005D11A2" w:rsidP="005D11A2">
      <w:pPr>
        <w:pStyle w:val="Default"/>
        <w:numPr>
          <w:ilvl w:val="0"/>
          <w:numId w:val="9"/>
        </w:numPr>
        <w:autoSpaceDE/>
        <w:autoSpaceDN/>
        <w:adjustRightInd/>
        <w:spacing w:before="120" w:after="120"/>
        <w:ind w:left="1418" w:hanging="425"/>
        <w:rPr>
          <w:rFonts w:ascii="Century Gothic" w:hAnsi="Century Gothic"/>
          <w:sz w:val="22"/>
          <w:szCs w:val="22"/>
        </w:rPr>
      </w:pPr>
      <w:r w:rsidRPr="00C55C90">
        <w:rPr>
          <w:rFonts w:ascii="Century Gothic" w:hAnsi="Century Gothic"/>
          <w:sz w:val="22"/>
          <w:szCs w:val="22"/>
        </w:rPr>
        <w:t>Compliance and quality assurance visits and ongoing support to address any areas for improvement including announced and unannounced site visits, lesson observations, tutor support and quality assurance and administration support</w:t>
      </w:r>
    </w:p>
    <w:p w14:paraId="28B24AAC" w14:textId="77777777" w:rsidR="005D11A2" w:rsidRPr="00C55C90" w:rsidRDefault="005D11A2" w:rsidP="005D11A2">
      <w:pPr>
        <w:pStyle w:val="Default"/>
        <w:autoSpaceDE/>
        <w:autoSpaceDN/>
        <w:adjustRightInd/>
        <w:spacing w:before="120" w:after="120"/>
        <w:ind w:left="709"/>
        <w:rPr>
          <w:rFonts w:ascii="Century Gothic" w:hAnsi="Century Gothic"/>
          <w:sz w:val="22"/>
          <w:szCs w:val="22"/>
        </w:rPr>
      </w:pPr>
      <w:r w:rsidRPr="00C55C90">
        <w:rPr>
          <w:rFonts w:ascii="Century Gothic" w:hAnsi="Century Gothic"/>
          <w:sz w:val="22"/>
          <w:szCs w:val="22"/>
        </w:rPr>
        <w:t>All invoices submitted by a sub-contractor must be supported by documentation as required in the contract. Where there are no issues relating to a sub-contractor’s submitted invoice, the College will endeavour to ensure that the payment of the invoice is made within 30 days of receipt.</w:t>
      </w:r>
    </w:p>
    <w:p w14:paraId="5AE773DC" w14:textId="77777777" w:rsidR="005D11A2" w:rsidRPr="00C55C90" w:rsidRDefault="005D11A2" w:rsidP="005D11A2">
      <w:pPr>
        <w:pStyle w:val="NoSpacing"/>
        <w:spacing w:before="120" w:after="120"/>
        <w:ind w:firstLine="360"/>
        <w:rPr>
          <w:rFonts w:ascii="Century Gothic" w:hAnsi="Century Gothic" w:cs="Arial"/>
        </w:rPr>
      </w:pPr>
    </w:p>
    <w:p w14:paraId="7C54B4C8" w14:textId="77777777" w:rsidR="005D11A2" w:rsidRPr="00C55C90" w:rsidRDefault="005D11A2" w:rsidP="005D11A2">
      <w:pPr>
        <w:pStyle w:val="NoSpacing"/>
        <w:numPr>
          <w:ilvl w:val="0"/>
          <w:numId w:val="13"/>
        </w:numPr>
        <w:spacing w:before="120" w:after="120"/>
        <w:ind w:hanging="720"/>
        <w:rPr>
          <w:rFonts w:ascii="Century Gothic" w:hAnsi="Century Gothic"/>
          <w:b/>
        </w:rPr>
      </w:pPr>
      <w:r w:rsidRPr="00C55C90">
        <w:rPr>
          <w:rFonts w:ascii="Century Gothic" w:hAnsi="Century Gothic"/>
          <w:b/>
        </w:rPr>
        <w:t>Monitoring, Review and Risk Management</w:t>
      </w:r>
    </w:p>
    <w:p w14:paraId="58A85225" w14:textId="77777777" w:rsidR="005D11A2" w:rsidRPr="00C55C90" w:rsidRDefault="005D11A2" w:rsidP="005D11A2">
      <w:pPr>
        <w:pStyle w:val="NoSpacing"/>
        <w:spacing w:before="120" w:after="120"/>
        <w:ind w:left="709"/>
        <w:rPr>
          <w:rFonts w:ascii="Century Gothic" w:hAnsi="Century Gothic" w:cs="Arial"/>
        </w:rPr>
      </w:pPr>
      <w:r w:rsidRPr="00C55C90">
        <w:rPr>
          <w:rFonts w:ascii="Century Gothic" w:hAnsi="Century Gothic" w:cs="Arial"/>
        </w:rPr>
        <w:t xml:space="preserve">Any prospective sub-contractor will be required to complete the College’s Due Diligence Questionnaire to assess the level of risk should the College decide to enter a contractual agreement with that organisation.  </w:t>
      </w:r>
    </w:p>
    <w:p w14:paraId="4C642816" w14:textId="77777777" w:rsidR="005D11A2" w:rsidRPr="00C55C90" w:rsidRDefault="005D11A2" w:rsidP="005D11A2">
      <w:pPr>
        <w:pStyle w:val="NoSpacing"/>
        <w:spacing w:before="120" w:after="120"/>
        <w:ind w:left="709"/>
        <w:rPr>
          <w:rFonts w:ascii="Century Gothic" w:hAnsi="Century Gothic" w:cs="Arial"/>
        </w:rPr>
      </w:pPr>
      <w:r w:rsidRPr="00C55C90">
        <w:rPr>
          <w:rFonts w:ascii="Century Gothic" w:hAnsi="Century Gothic" w:cs="Arial"/>
        </w:rPr>
        <w:t xml:space="preserve">Provision funded through the ESFA Adult Skills budget and the ESFA budget must comply respectively with the ESFA Funding Rules </w:t>
      </w:r>
      <w:r w:rsidR="00CD06D2">
        <w:rPr>
          <w:rFonts w:ascii="Century Gothic" w:hAnsi="Century Gothic" w:cs="Arial"/>
        </w:rPr>
        <w:t>2022/23</w:t>
      </w:r>
      <w:r w:rsidRPr="00C55C90">
        <w:rPr>
          <w:rFonts w:ascii="Century Gothic" w:hAnsi="Century Gothic" w:cs="Arial"/>
        </w:rPr>
        <w:t xml:space="preserve"> and ESFA Funding Guidance for Young People </w:t>
      </w:r>
      <w:r w:rsidR="00CD06D2">
        <w:rPr>
          <w:rFonts w:ascii="Century Gothic" w:hAnsi="Century Gothic" w:cs="Arial"/>
        </w:rPr>
        <w:t>2022</w:t>
      </w:r>
      <w:r w:rsidRPr="00C55C90">
        <w:rPr>
          <w:rFonts w:ascii="Century Gothic" w:hAnsi="Century Gothic" w:cs="Arial"/>
        </w:rPr>
        <w:t xml:space="preserve"> to 2022 (sub-contracting control regulations) and any updates published by the funding agencies during the year.</w:t>
      </w:r>
    </w:p>
    <w:p w14:paraId="3962BB3E" w14:textId="77777777" w:rsidR="005D11A2" w:rsidRPr="00C55C90" w:rsidRDefault="005D11A2" w:rsidP="005D11A2">
      <w:pPr>
        <w:pStyle w:val="NoSpacing"/>
        <w:spacing w:before="120" w:after="120"/>
        <w:ind w:left="709"/>
        <w:rPr>
          <w:rFonts w:ascii="Century Gothic" w:hAnsi="Century Gothic" w:cs="Arial"/>
        </w:rPr>
      </w:pPr>
      <w:r w:rsidRPr="00C55C90">
        <w:rPr>
          <w:rFonts w:ascii="Century Gothic" w:hAnsi="Century Gothic" w:cs="Arial"/>
        </w:rPr>
        <w:t xml:space="preserve">Sub-contractor performance will be monitored on an ongoing basis. Feedback on performance will be provided in writing, at </w:t>
      </w:r>
      <w:proofErr w:type="gramStart"/>
      <w:r w:rsidRPr="00C55C90">
        <w:rPr>
          <w:rFonts w:ascii="Century Gothic" w:hAnsi="Century Gothic" w:cs="Arial"/>
        </w:rPr>
        <w:t>face to face</w:t>
      </w:r>
      <w:proofErr w:type="gramEnd"/>
      <w:r w:rsidRPr="00C55C90">
        <w:rPr>
          <w:rFonts w:ascii="Century Gothic" w:hAnsi="Century Gothic" w:cs="Arial"/>
        </w:rPr>
        <w:t xml:space="preserve"> meetings, by telephone or e-mail. The methods used will be dependent upon the circumstances at any point in time. Feedback will also be provided at periodic contract performance review meetings.</w:t>
      </w:r>
    </w:p>
    <w:p w14:paraId="1BB61EE7" w14:textId="77777777" w:rsidR="005D11A2" w:rsidRPr="00C55C90" w:rsidRDefault="005D11A2" w:rsidP="005D11A2">
      <w:pPr>
        <w:pStyle w:val="NoSpacing"/>
        <w:spacing w:before="120" w:after="120"/>
        <w:ind w:left="709"/>
        <w:rPr>
          <w:rFonts w:ascii="Century Gothic" w:hAnsi="Century Gothic" w:cs="Arial"/>
        </w:rPr>
      </w:pPr>
      <w:r w:rsidRPr="00C55C90">
        <w:rPr>
          <w:rFonts w:ascii="Century Gothic" w:hAnsi="Century Gothic" w:cs="Arial"/>
        </w:rPr>
        <w:lastRenderedPageBreak/>
        <w:t xml:space="preserve">Contributory risk factors that are used to identify the initial level of risk associated with a prospective sub-contractor will </w:t>
      </w:r>
      <w:proofErr w:type="gramStart"/>
      <w:r w:rsidRPr="00C55C90">
        <w:rPr>
          <w:rFonts w:ascii="Century Gothic" w:hAnsi="Century Gothic" w:cs="Arial"/>
        </w:rPr>
        <w:t>include:-</w:t>
      </w:r>
      <w:proofErr w:type="gramEnd"/>
    </w:p>
    <w:p w14:paraId="34CC548B"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Previous track record/performance</w:t>
      </w:r>
    </w:p>
    <w:p w14:paraId="1DD41D0F"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Staff qualifications and experience relevant to delivery of agreed programmes</w:t>
      </w:r>
    </w:p>
    <w:p w14:paraId="6D6B83A4"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Results of EV reports</w:t>
      </w:r>
    </w:p>
    <w:p w14:paraId="50A61773"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Financial standing of the sub-contractor</w:t>
      </w:r>
    </w:p>
    <w:p w14:paraId="0EDE6DC6"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Length of sub-contractor’s existence</w:t>
      </w:r>
    </w:p>
    <w:p w14:paraId="0625F3FD"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Contract size with regard to both funding and learner numbers</w:t>
      </w:r>
    </w:p>
    <w:p w14:paraId="790DE715"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 xml:space="preserve">Standards of internal quality assurance by sub-contractor </w:t>
      </w:r>
    </w:p>
    <w:p w14:paraId="2566F6FC"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Any previous OFSTED judgement/s</w:t>
      </w:r>
    </w:p>
    <w:p w14:paraId="7A1DD9D1"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Profile of learners</w:t>
      </w:r>
    </w:p>
    <w:p w14:paraId="663A1093"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Experience of working with ESFA funding methodology and requirements</w:t>
      </w:r>
    </w:p>
    <w:p w14:paraId="5C9AB5BC"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Geographic location, particularly for ESFA funded provision, to ensure provision is not outside of the College’s normal recruitment areas</w:t>
      </w:r>
    </w:p>
    <w:p w14:paraId="363AE170" w14:textId="77777777" w:rsidR="005D11A2" w:rsidRPr="00C55C90" w:rsidRDefault="005D11A2" w:rsidP="005D11A2">
      <w:pPr>
        <w:pStyle w:val="ListParagraph"/>
        <w:spacing w:before="120" w:after="120" w:line="240" w:lineRule="auto"/>
        <w:ind w:left="709"/>
        <w:contextualSpacing w:val="0"/>
        <w:rPr>
          <w:rFonts w:ascii="Century Gothic" w:eastAsia="Calibri" w:hAnsi="Century Gothic" w:cs="Arial"/>
          <w:color w:val="000000"/>
        </w:rPr>
      </w:pPr>
      <w:r w:rsidRPr="00C55C90">
        <w:rPr>
          <w:rFonts w:ascii="Century Gothic" w:eastAsia="Calibri" w:hAnsi="Century Gothic" w:cs="Arial"/>
          <w:color w:val="000000"/>
        </w:rPr>
        <w:t xml:space="preserve">During the period of contractual agreement the College will, on an on-going basis, also monitor the level of risk </w:t>
      </w:r>
      <w:proofErr w:type="gramStart"/>
      <w:r w:rsidRPr="00C55C90">
        <w:rPr>
          <w:rFonts w:ascii="Century Gothic" w:eastAsia="Calibri" w:hAnsi="Century Gothic" w:cs="Arial"/>
          <w:color w:val="000000"/>
        </w:rPr>
        <w:t>through:-</w:t>
      </w:r>
      <w:proofErr w:type="gramEnd"/>
    </w:p>
    <w:p w14:paraId="0BE74DFF"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Observations of teaching, learning and assessment</w:t>
      </w:r>
    </w:p>
    <w:p w14:paraId="43A7EDFA"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Qualification achievement rates</w:t>
      </w:r>
    </w:p>
    <w:p w14:paraId="1C616E75"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Actual income against contract target funding income.</w:t>
      </w:r>
    </w:p>
    <w:p w14:paraId="60D741CA"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Standards of internal quality assurance (both curriculum and administration)</w:t>
      </w:r>
    </w:p>
    <w:p w14:paraId="3D03C091"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Learner feedback (at workplace or by telephone or online learner surveys)</w:t>
      </w:r>
    </w:p>
    <w:p w14:paraId="53FF60E1"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Employer feedback (where appropriate)</w:t>
      </w:r>
    </w:p>
    <w:p w14:paraId="0734684A"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Learner progression</w:t>
      </w:r>
    </w:p>
    <w:p w14:paraId="00919C7A" w14:textId="77777777" w:rsidR="005D11A2" w:rsidRPr="00C55C90" w:rsidRDefault="005D11A2" w:rsidP="005D11A2">
      <w:pPr>
        <w:pStyle w:val="ListParagraph"/>
        <w:spacing w:before="120" w:after="120" w:line="240" w:lineRule="auto"/>
        <w:ind w:left="709"/>
        <w:contextualSpacing w:val="0"/>
        <w:rPr>
          <w:rFonts w:ascii="Century Gothic" w:eastAsia="Calibri" w:hAnsi="Century Gothic" w:cs="Arial"/>
          <w:color w:val="000000"/>
        </w:rPr>
      </w:pPr>
      <w:r w:rsidRPr="00C55C90">
        <w:rPr>
          <w:rFonts w:ascii="Century Gothic" w:eastAsia="Calibri" w:hAnsi="Century Gothic" w:cs="Arial"/>
          <w:color w:val="000000"/>
        </w:rPr>
        <w:t xml:space="preserve">The risk factors associated with each sub-contractor will be discussed and recorded at review meetings and, where necessary, actions identified for the sub-contractor to undertake in order to reduce the level of risk.  </w:t>
      </w:r>
    </w:p>
    <w:p w14:paraId="6D2CB3A2" w14:textId="77777777" w:rsidR="005D11A2" w:rsidRPr="00C55C90" w:rsidRDefault="005D11A2" w:rsidP="005D11A2">
      <w:pPr>
        <w:pStyle w:val="ListParagraph"/>
        <w:spacing w:before="120" w:after="120" w:line="240" w:lineRule="auto"/>
        <w:ind w:left="709"/>
        <w:contextualSpacing w:val="0"/>
        <w:rPr>
          <w:rFonts w:ascii="Century Gothic" w:eastAsia="Calibri" w:hAnsi="Century Gothic" w:cs="Arial"/>
          <w:color w:val="000000"/>
        </w:rPr>
      </w:pPr>
      <w:r w:rsidRPr="00C55C90">
        <w:rPr>
          <w:rFonts w:ascii="Century Gothic" w:eastAsia="Calibri" w:hAnsi="Century Gothic" w:cs="Arial"/>
          <w:color w:val="000000"/>
        </w:rPr>
        <w:t>Where a subcontractor is found to be providing a supply of services that does meet agreed targets and expectations of quality, the College can terminate any agreements.</w:t>
      </w:r>
    </w:p>
    <w:p w14:paraId="66F43A59" w14:textId="77777777" w:rsidR="005D11A2" w:rsidRPr="00C55C90" w:rsidRDefault="005D11A2" w:rsidP="005D11A2">
      <w:pPr>
        <w:pStyle w:val="ListParagraph"/>
        <w:spacing w:before="120" w:after="120" w:line="240" w:lineRule="auto"/>
        <w:ind w:left="709"/>
        <w:contextualSpacing w:val="0"/>
        <w:rPr>
          <w:rFonts w:ascii="Century Gothic" w:eastAsia="Calibri" w:hAnsi="Century Gothic" w:cs="Arial"/>
          <w:color w:val="000000"/>
        </w:rPr>
      </w:pPr>
      <w:r w:rsidRPr="00C55C90">
        <w:rPr>
          <w:rFonts w:ascii="Century Gothic" w:eastAsia="Calibri" w:hAnsi="Century Gothic" w:cs="Arial"/>
          <w:color w:val="000000"/>
        </w:rPr>
        <w:t xml:space="preserve">The College can terminate any agreements. The College may seek recovery of funds particularly where the funding agencies’ conditions of funding have not been met or there is any other irregularity. </w:t>
      </w:r>
    </w:p>
    <w:p w14:paraId="426F4E4F" w14:textId="77777777" w:rsidR="005D11A2" w:rsidRPr="00C55C90" w:rsidRDefault="005D11A2" w:rsidP="005D11A2">
      <w:pPr>
        <w:spacing w:before="120" w:after="120" w:line="240" w:lineRule="auto"/>
        <w:rPr>
          <w:rFonts w:ascii="Century Gothic" w:eastAsia="Calibri" w:hAnsi="Century Gothic" w:cs="Arial"/>
          <w:b/>
          <w:color w:val="000000"/>
        </w:rPr>
      </w:pPr>
    </w:p>
    <w:p w14:paraId="431C0EB5" w14:textId="77777777" w:rsidR="005D11A2" w:rsidRDefault="005D11A2" w:rsidP="005D11A2">
      <w:pPr>
        <w:pStyle w:val="NoSpacing"/>
        <w:numPr>
          <w:ilvl w:val="0"/>
          <w:numId w:val="13"/>
        </w:numPr>
        <w:spacing w:before="120" w:after="120"/>
        <w:ind w:hanging="720"/>
        <w:rPr>
          <w:rFonts w:ascii="Century Gothic" w:hAnsi="Century Gothic"/>
          <w:b/>
        </w:rPr>
      </w:pPr>
      <w:r w:rsidRPr="00C55C90">
        <w:rPr>
          <w:rFonts w:ascii="Century Gothic" w:hAnsi="Century Gothic"/>
          <w:b/>
        </w:rPr>
        <w:t>Sub-Contractors</w:t>
      </w:r>
      <w:r>
        <w:rPr>
          <w:rFonts w:ascii="Century Gothic" w:hAnsi="Century Gothic"/>
          <w:b/>
        </w:rPr>
        <w:t xml:space="preserve"> Requirements</w:t>
      </w:r>
    </w:p>
    <w:p w14:paraId="266CFFB6" w14:textId="77777777" w:rsidR="005D11A2" w:rsidRPr="00C55C90" w:rsidRDefault="005D11A2" w:rsidP="005D11A2">
      <w:pPr>
        <w:pStyle w:val="NoSpacing"/>
        <w:spacing w:before="120" w:after="120"/>
        <w:ind w:left="720"/>
        <w:rPr>
          <w:rFonts w:ascii="Century Gothic" w:hAnsi="Century Gothic"/>
        </w:rPr>
      </w:pPr>
      <w:r w:rsidRPr="00C55C90">
        <w:rPr>
          <w:rFonts w:ascii="Century Gothic" w:hAnsi="Century Gothic"/>
        </w:rPr>
        <w:t>Sub-contractors are required to</w:t>
      </w:r>
      <w:r>
        <w:rPr>
          <w:rFonts w:ascii="Century Gothic" w:hAnsi="Century Gothic"/>
        </w:rPr>
        <w:t xml:space="preserve"> ensure</w:t>
      </w:r>
      <w:r w:rsidRPr="00C55C90">
        <w:rPr>
          <w:rFonts w:ascii="Century Gothic" w:hAnsi="Century Gothic"/>
        </w:rPr>
        <w:t>:</w:t>
      </w:r>
    </w:p>
    <w:p w14:paraId="3E9AA74F"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The College is provided with Individual Learner Record (ILR) data to accurately reflect the agreed sub-contracted delivery</w:t>
      </w:r>
    </w:p>
    <w:p w14:paraId="4E115265"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The College and funding agencies (or other bodies nominated by the College or agencies) have access to the sub-contractor’s premises and all documents relevant to tracking learner’s progress, funding claims and any other purpose relating to the agreed sub-contracted delivery</w:t>
      </w:r>
    </w:p>
    <w:p w14:paraId="0992DE96"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lastRenderedPageBreak/>
        <w:t>The College has access to the sub-contractor’s premises to monitor and quality assure the delivery of learning, including interviewing staff and students and directly observing the initial guidance and assessment (IAG) process</w:t>
      </w:r>
    </w:p>
    <w:p w14:paraId="6271D790"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All learners sign a learning agreement at the time of enrolment reflecting the outcome of initial guidance and assessment (IAG) and setting out their learning programme</w:t>
      </w:r>
    </w:p>
    <w:p w14:paraId="44679C8F"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 xml:space="preserve">The agreed sub-contracted delivery is not further sub-contracted </w:t>
      </w:r>
    </w:p>
    <w:p w14:paraId="55EDED58" w14:textId="77777777" w:rsidR="005D11A2" w:rsidRPr="00C55C90" w:rsidRDefault="005D11A2" w:rsidP="005D11A2">
      <w:pPr>
        <w:pStyle w:val="ListParagraph"/>
        <w:numPr>
          <w:ilvl w:val="0"/>
          <w:numId w:val="10"/>
        </w:numPr>
        <w:spacing w:before="120" w:after="120" w:line="240" w:lineRule="auto"/>
        <w:ind w:left="1418" w:hanging="425"/>
        <w:contextualSpacing w:val="0"/>
        <w:rPr>
          <w:rFonts w:ascii="Century Gothic" w:eastAsia="Calibri" w:hAnsi="Century Gothic" w:cs="Arial"/>
          <w:color w:val="000000"/>
        </w:rPr>
      </w:pPr>
      <w:r w:rsidRPr="00C55C90">
        <w:rPr>
          <w:rFonts w:ascii="Century Gothic" w:eastAsia="Calibri" w:hAnsi="Century Gothic" w:cs="Arial"/>
          <w:color w:val="000000"/>
        </w:rPr>
        <w:t xml:space="preserve">Funding for the agreed sub-contracted delivery is not “double-funded”, </w:t>
      </w:r>
      <w:proofErr w:type="gramStart"/>
      <w:r w:rsidRPr="00C55C90">
        <w:rPr>
          <w:rFonts w:ascii="Century Gothic" w:eastAsia="Calibri" w:hAnsi="Century Gothic" w:cs="Arial"/>
          <w:color w:val="000000"/>
        </w:rPr>
        <w:t>i.e.</w:t>
      </w:r>
      <w:proofErr w:type="gramEnd"/>
      <w:r w:rsidRPr="00C55C90">
        <w:rPr>
          <w:rFonts w:ascii="Century Gothic" w:eastAsia="Calibri" w:hAnsi="Century Gothic" w:cs="Arial"/>
          <w:color w:val="000000"/>
        </w:rPr>
        <w:t xml:space="preserve"> learners are not funded by the ESFA at any other institution </w:t>
      </w:r>
    </w:p>
    <w:p w14:paraId="23B7292E" w14:textId="77777777" w:rsidR="005D11A2" w:rsidRDefault="005D11A2" w:rsidP="005D11A2">
      <w:pPr>
        <w:spacing w:before="120" w:after="120" w:line="240" w:lineRule="auto"/>
        <w:rPr>
          <w:rFonts w:ascii="Century Gothic" w:eastAsia="Calibri" w:hAnsi="Century Gothic" w:cs="Arial"/>
          <w:color w:val="000000"/>
        </w:rPr>
      </w:pPr>
    </w:p>
    <w:p w14:paraId="44B385E1" w14:textId="77777777" w:rsidR="006941EE" w:rsidRDefault="006941EE" w:rsidP="005D11A2">
      <w:pPr>
        <w:spacing w:before="120" w:after="120" w:line="240" w:lineRule="auto"/>
        <w:rPr>
          <w:rFonts w:ascii="Century Gothic" w:eastAsia="Calibri" w:hAnsi="Century Gothic" w:cs="Arial"/>
          <w:color w:val="000000"/>
        </w:rPr>
      </w:pPr>
    </w:p>
    <w:p w14:paraId="3623DD1C" w14:textId="77777777" w:rsidR="006941EE" w:rsidRDefault="006941EE" w:rsidP="005D11A2">
      <w:pPr>
        <w:spacing w:before="120" w:after="120" w:line="240" w:lineRule="auto"/>
        <w:rPr>
          <w:rFonts w:ascii="Century Gothic" w:eastAsia="Calibri" w:hAnsi="Century Gothic" w:cs="Arial"/>
          <w:color w:val="000000"/>
        </w:rPr>
      </w:pPr>
    </w:p>
    <w:p w14:paraId="18E642E2" w14:textId="77777777" w:rsidR="005D11A2" w:rsidRPr="00C55C90" w:rsidRDefault="005D11A2" w:rsidP="005D11A2">
      <w:pPr>
        <w:pStyle w:val="NoSpacing"/>
        <w:numPr>
          <w:ilvl w:val="0"/>
          <w:numId w:val="13"/>
        </w:numPr>
        <w:spacing w:before="120" w:after="120"/>
        <w:ind w:hanging="720"/>
        <w:rPr>
          <w:rFonts w:ascii="Century Gothic" w:hAnsi="Century Gothic"/>
          <w:b/>
        </w:rPr>
      </w:pPr>
      <w:r w:rsidRPr="00C55C90">
        <w:rPr>
          <w:rFonts w:ascii="Century Gothic" w:hAnsi="Century Gothic"/>
          <w:b/>
        </w:rPr>
        <w:t>Additional support for Sub-Contractors</w:t>
      </w:r>
    </w:p>
    <w:p w14:paraId="54A0850F" w14:textId="77777777" w:rsidR="005D11A2" w:rsidRPr="00C55C90" w:rsidRDefault="005D11A2" w:rsidP="005D11A2">
      <w:pPr>
        <w:spacing w:before="120" w:after="120" w:line="240" w:lineRule="auto"/>
        <w:ind w:left="709"/>
        <w:rPr>
          <w:rFonts w:ascii="Century Gothic" w:eastAsia="Calibri" w:hAnsi="Century Gothic" w:cs="Arial"/>
          <w:color w:val="000000"/>
        </w:rPr>
      </w:pPr>
      <w:r w:rsidRPr="00C55C90">
        <w:rPr>
          <w:rFonts w:ascii="Century Gothic" w:eastAsia="Calibri" w:hAnsi="Century Gothic" w:cs="Arial"/>
          <w:color w:val="000000"/>
        </w:rPr>
        <w:t>The additional support given to each subcontractor will be negotiated with that sub-contractor, but will be based on a risk approach and may include:</w:t>
      </w:r>
    </w:p>
    <w:p w14:paraId="2D1D69B1" w14:textId="77777777" w:rsidR="005D11A2" w:rsidRPr="00C55C90" w:rsidRDefault="005D11A2" w:rsidP="005D11A2">
      <w:pPr>
        <w:numPr>
          <w:ilvl w:val="0"/>
          <w:numId w:val="11"/>
        </w:numPr>
        <w:spacing w:before="120" w:after="120" w:line="240" w:lineRule="auto"/>
        <w:ind w:left="1418" w:hanging="425"/>
        <w:rPr>
          <w:rFonts w:ascii="Century Gothic" w:hAnsi="Century Gothic" w:cs="Arial"/>
          <w:bCs/>
          <w:color w:val="000000"/>
          <w:lang w:eastAsia="en-GB"/>
        </w:rPr>
      </w:pPr>
      <w:r w:rsidRPr="00C55C90">
        <w:rPr>
          <w:rFonts w:ascii="Century Gothic" w:hAnsi="Century Gothic" w:cs="Arial"/>
          <w:bCs/>
          <w:color w:val="000000"/>
          <w:lang w:eastAsia="en-GB"/>
        </w:rPr>
        <w:t>Elements of the Study Programme</w:t>
      </w:r>
    </w:p>
    <w:p w14:paraId="5C6C6B96" w14:textId="77777777" w:rsidR="005D11A2" w:rsidRPr="00C55C90" w:rsidRDefault="005D11A2" w:rsidP="005D11A2">
      <w:pPr>
        <w:numPr>
          <w:ilvl w:val="0"/>
          <w:numId w:val="11"/>
        </w:numPr>
        <w:spacing w:before="120" w:after="120" w:line="240" w:lineRule="auto"/>
        <w:ind w:left="1418" w:hanging="425"/>
        <w:rPr>
          <w:rFonts w:ascii="Century Gothic" w:hAnsi="Century Gothic" w:cs="Arial"/>
          <w:bCs/>
          <w:color w:val="000000"/>
          <w:lang w:eastAsia="en-GB"/>
        </w:rPr>
      </w:pPr>
      <w:r w:rsidRPr="00C55C90">
        <w:rPr>
          <w:rFonts w:ascii="Century Gothic" w:hAnsi="Century Gothic" w:cs="Arial"/>
          <w:bCs/>
          <w:color w:val="000000"/>
          <w:lang w:eastAsia="en-GB"/>
        </w:rPr>
        <w:t>Additional site visits</w:t>
      </w:r>
    </w:p>
    <w:p w14:paraId="466853DA" w14:textId="77777777" w:rsidR="005D11A2" w:rsidRPr="00C55C90" w:rsidRDefault="005D11A2" w:rsidP="005D11A2">
      <w:pPr>
        <w:numPr>
          <w:ilvl w:val="0"/>
          <w:numId w:val="11"/>
        </w:numPr>
        <w:spacing w:before="120" w:after="120" w:line="240" w:lineRule="auto"/>
        <w:ind w:left="1418" w:hanging="425"/>
        <w:rPr>
          <w:rFonts w:ascii="Century Gothic" w:hAnsi="Century Gothic" w:cs="Arial"/>
          <w:bCs/>
          <w:color w:val="000000"/>
          <w:lang w:eastAsia="en-GB"/>
        </w:rPr>
      </w:pPr>
      <w:r w:rsidRPr="00C55C90">
        <w:rPr>
          <w:rFonts w:ascii="Century Gothic" w:hAnsi="Century Gothic" w:cs="Arial"/>
          <w:bCs/>
          <w:color w:val="000000"/>
          <w:lang w:eastAsia="en-GB"/>
        </w:rPr>
        <w:t>Additional lesson observation</w:t>
      </w:r>
    </w:p>
    <w:p w14:paraId="2B659D6D" w14:textId="77777777" w:rsidR="005D11A2" w:rsidRPr="00C55C90" w:rsidRDefault="005D11A2" w:rsidP="005D11A2">
      <w:pPr>
        <w:numPr>
          <w:ilvl w:val="0"/>
          <w:numId w:val="11"/>
        </w:numPr>
        <w:spacing w:before="120" w:after="120" w:line="240" w:lineRule="auto"/>
        <w:ind w:left="1418" w:hanging="425"/>
        <w:rPr>
          <w:rFonts w:ascii="Century Gothic" w:hAnsi="Century Gothic" w:cs="Arial"/>
          <w:bCs/>
          <w:color w:val="000000"/>
          <w:lang w:eastAsia="en-GB"/>
        </w:rPr>
      </w:pPr>
      <w:r w:rsidRPr="00C55C90">
        <w:rPr>
          <w:rFonts w:ascii="Century Gothic" w:hAnsi="Century Gothic" w:cs="Arial"/>
          <w:bCs/>
          <w:color w:val="000000"/>
          <w:lang w:eastAsia="en-GB"/>
        </w:rPr>
        <w:t>Additional tutor support</w:t>
      </w:r>
    </w:p>
    <w:p w14:paraId="74552028" w14:textId="77777777" w:rsidR="005D11A2" w:rsidRPr="00C55C90" w:rsidRDefault="005D11A2" w:rsidP="005D11A2">
      <w:pPr>
        <w:pStyle w:val="ListParagraph"/>
        <w:numPr>
          <w:ilvl w:val="0"/>
          <w:numId w:val="11"/>
        </w:numPr>
        <w:spacing w:before="120" w:after="120" w:line="240" w:lineRule="auto"/>
        <w:ind w:left="1418" w:hanging="425"/>
        <w:contextualSpacing w:val="0"/>
        <w:rPr>
          <w:rFonts w:ascii="Century Gothic" w:hAnsi="Century Gothic" w:cs="Arial"/>
          <w:b/>
        </w:rPr>
      </w:pPr>
      <w:r w:rsidRPr="00C55C90">
        <w:rPr>
          <w:rFonts w:ascii="Century Gothic" w:hAnsi="Century Gothic" w:cs="Arial"/>
          <w:bCs/>
          <w:color w:val="000000"/>
          <w:lang w:eastAsia="en-GB"/>
        </w:rPr>
        <w:t>More rigorous verification</w:t>
      </w:r>
      <w:r w:rsidRPr="00C55C90">
        <w:rPr>
          <w:rFonts w:ascii="Century Gothic" w:hAnsi="Century Gothic" w:cs="Arial"/>
          <w:b/>
        </w:rPr>
        <w:t xml:space="preserve"> </w:t>
      </w:r>
    </w:p>
    <w:p w14:paraId="00BF9C44" w14:textId="77777777" w:rsidR="005D11A2" w:rsidRPr="00C55C90" w:rsidRDefault="005D11A2" w:rsidP="005D11A2">
      <w:pPr>
        <w:pStyle w:val="ListParagraph"/>
        <w:spacing w:before="120" w:after="120" w:line="240" w:lineRule="auto"/>
        <w:ind w:left="0"/>
        <w:contextualSpacing w:val="0"/>
        <w:rPr>
          <w:rFonts w:ascii="Century Gothic" w:hAnsi="Century Gothic" w:cs="Arial"/>
          <w:b/>
        </w:rPr>
      </w:pPr>
    </w:p>
    <w:p w14:paraId="51DA8863" w14:textId="77777777" w:rsidR="005D11A2" w:rsidRPr="00C55C90" w:rsidRDefault="005D11A2" w:rsidP="005D11A2">
      <w:pPr>
        <w:pStyle w:val="NoSpacing"/>
        <w:numPr>
          <w:ilvl w:val="0"/>
          <w:numId w:val="13"/>
        </w:numPr>
        <w:spacing w:before="120" w:after="120"/>
        <w:ind w:hanging="720"/>
        <w:rPr>
          <w:rFonts w:ascii="Century Gothic" w:hAnsi="Century Gothic"/>
          <w:b/>
        </w:rPr>
      </w:pPr>
      <w:r w:rsidRPr="00C55C90">
        <w:rPr>
          <w:rFonts w:ascii="Century Gothic" w:hAnsi="Century Gothic"/>
          <w:b/>
        </w:rPr>
        <w:t>Communication</w:t>
      </w:r>
    </w:p>
    <w:p w14:paraId="47AF13D5" w14:textId="77777777" w:rsidR="005D11A2" w:rsidRPr="00C55C90" w:rsidRDefault="005D11A2" w:rsidP="005D11A2">
      <w:pPr>
        <w:pStyle w:val="Default"/>
        <w:autoSpaceDE/>
        <w:autoSpaceDN/>
        <w:adjustRightInd/>
        <w:spacing w:before="120" w:after="120"/>
        <w:ind w:left="709"/>
        <w:rPr>
          <w:rFonts w:ascii="Century Gothic" w:hAnsi="Century Gothic"/>
          <w:sz w:val="22"/>
          <w:szCs w:val="22"/>
        </w:rPr>
      </w:pPr>
      <w:r w:rsidRPr="00C55C90">
        <w:rPr>
          <w:rFonts w:ascii="Century Gothic" w:hAnsi="Century Gothic"/>
          <w:sz w:val="22"/>
          <w:szCs w:val="22"/>
        </w:rPr>
        <w:t>This Policy will be reviewed in each summer term and updated as required. It will be published on the College web site prior to the start of the academic year in which it will be applied. Potential sub-contractors will be directed to it as the starting point in any relationship.</w:t>
      </w:r>
    </w:p>
    <w:p w14:paraId="2298BDD4" w14:textId="77777777" w:rsidR="005D11A2" w:rsidRPr="00C55C90" w:rsidRDefault="005D11A2" w:rsidP="005D11A2">
      <w:pPr>
        <w:pStyle w:val="Default"/>
        <w:autoSpaceDE/>
        <w:autoSpaceDN/>
        <w:adjustRightInd/>
        <w:spacing w:before="120" w:after="120"/>
        <w:rPr>
          <w:rFonts w:ascii="Century Gothic" w:hAnsi="Century Gothic"/>
          <w:sz w:val="22"/>
          <w:szCs w:val="22"/>
        </w:rPr>
      </w:pPr>
    </w:p>
    <w:p w14:paraId="58B7339F" w14:textId="77777777" w:rsidR="005D11A2" w:rsidRPr="00C55C90" w:rsidRDefault="005D11A2" w:rsidP="005D11A2">
      <w:pPr>
        <w:pStyle w:val="NoSpacing"/>
        <w:numPr>
          <w:ilvl w:val="0"/>
          <w:numId w:val="13"/>
        </w:numPr>
        <w:spacing w:before="120" w:after="120"/>
        <w:ind w:hanging="720"/>
        <w:rPr>
          <w:rFonts w:ascii="Century Gothic" w:hAnsi="Century Gothic"/>
          <w:b/>
        </w:rPr>
      </w:pPr>
      <w:r w:rsidRPr="00C55C90">
        <w:rPr>
          <w:rFonts w:ascii="Century Gothic" w:hAnsi="Century Gothic"/>
          <w:b/>
        </w:rPr>
        <w:t>External Assurance</w:t>
      </w:r>
    </w:p>
    <w:p w14:paraId="07445127" w14:textId="77777777" w:rsidR="005D11A2" w:rsidRPr="00C55C90" w:rsidRDefault="005D11A2" w:rsidP="005D11A2">
      <w:pPr>
        <w:pStyle w:val="Default"/>
        <w:autoSpaceDE/>
        <w:autoSpaceDN/>
        <w:adjustRightInd/>
        <w:spacing w:before="120" w:after="120"/>
        <w:ind w:left="709"/>
        <w:rPr>
          <w:rFonts w:ascii="Century Gothic" w:hAnsi="Century Gothic"/>
          <w:sz w:val="22"/>
          <w:szCs w:val="22"/>
        </w:rPr>
      </w:pPr>
      <w:r w:rsidRPr="00C55C90">
        <w:rPr>
          <w:rFonts w:ascii="Century Gothic" w:hAnsi="Century Gothic"/>
          <w:sz w:val="22"/>
          <w:szCs w:val="22"/>
        </w:rPr>
        <w:t>The College will undertake external assurance through an independent auditor to review sub-contracted delivery controls over all ESFA funded provision in line with guidelines for the current academic year.</w:t>
      </w:r>
    </w:p>
    <w:p w14:paraId="62E9F858" w14:textId="77777777" w:rsidR="005D11A2" w:rsidRPr="00C55C90" w:rsidRDefault="005D11A2" w:rsidP="005D11A2">
      <w:pPr>
        <w:spacing w:before="120" w:after="120" w:line="240" w:lineRule="auto"/>
        <w:ind w:left="426" w:hanging="426"/>
        <w:rPr>
          <w:rFonts w:ascii="Century Gothic" w:eastAsia="Calibri" w:hAnsi="Century Gothic" w:cs="Arial"/>
          <w:b/>
          <w:color w:val="000000"/>
        </w:rPr>
      </w:pPr>
      <w:r w:rsidRPr="00C55C90">
        <w:rPr>
          <w:rFonts w:ascii="Century Gothic" w:eastAsia="Calibri" w:hAnsi="Century Gothic" w:cs="Arial"/>
          <w:b/>
          <w:color w:val="000000"/>
        </w:rPr>
        <w:tab/>
      </w:r>
    </w:p>
    <w:p w14:paraId="44E92421" w14:textId="77777777" w:rsidR="005D11A2" w:rsidRPr="00DB00B9" w:rsidRDefault="005D11A2" w:rsidP="005D11A2">
      <w:pPr>
        <w:pStyle w:val="NoSpacing"/>
        <w:ind w:firstLine="360"/>
        <w:rPr>
          <w:rFonts w:ascii="Century Gothic" w:hAnsi="Century Gothic"/>
          <w:b/>
        </w:rPr>
      </w:pPr>
    </w:p>
    <w:p w14:paraId="3F1BEFDD" w14:textId="77777777" w:rsidR="005D11A2" w:rsidRDefault="005D11A2">
      <w:pPr>
        <w:rPr>
          <w:rFonts w:ascii="Century Gothic" w:hAnsi="Century Gothic"/>
        </w:rPr>
      </w:pPr>
      <w:r>
        <w:rPr>
          <w:rFonts w:ascii="Century Gothic" w:hAnsi="Century Gothic"/>
        </w:rPr>
        <w:br w:type="page"/>
      </w:r>
    </w:p>
    <w:p w14:paraId="2DCDBE03" w14:textId="77777777" w:rsidR="005D11A2" w:rsidRDefault="005D11A2" w:rsidP="005D11A2">
      <w:pPr>
        <w:spacing w:after="0" w:line="240" w:lineRule="auto"/>
        <w:rPr>
          <w:rFonts w:ascii="Century Gothic" w:hAnsi="Century Gothic"/>
          <w:b/>
          <w:sz w:val="24"/>
          <w:szCs w:val="24"/>
        </w:rPr>
      </w:pPr>
      <w:r w:rsidRPr="00FC540B">
        <w:rPr>
          <w:rFonts w:ascii="Century Gothic" w:hAnsi="Century Gothic"/>
          <w:noProof/>
          <w:lang w:eastAsia="en-GB"/>
        </w:rPr>
        <w:lastRenderedPageBreak/>
        <w:drawing>
          <wp:anchor distT="0" distB="0" distL="114300" distR="114300" simplePos="0" relativeHeight="251658246" behindDoc="0" locked="0" layoutInCell="1" allowOverlap="1" wp14:anchorId="36ED5FFC" wp14:editId="4B880766">
            <wp:simplePos x="0" y="0"/>
            <wp:positionH relativeFrom="margin">
              <wp:align>right</wp:align>
            </wp:positionH>
            <wp:positionV relativeFrom="paragraph">
              <wp:posOffset>-140446</wp:posOffset>
            </wp:positionV>
            <wp:extent cx="842838" cy="580483"/>
            <wp:effectExtent l="0" t="0" r="0" b="0"/>
            <wp:wrapNone/>
            <wp:docPr id="7" name="Picture 7" descr="\\fs2\StaffDesktops\t.bright\Desktop\ECC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StaffDesktops\t.bright\Desktop\ECC logo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838" cy="5804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sz w:val="24"/>
          <w:szCs w:val="24"/>
        </w:rPr>
        <w:t>Appendix 6</w:t>
      </w:r>
      <w:r w:rsidRPr="00D45F06">
        <w:rPr>
          <w:rFonts w:ascii="Century Gothic" w:hAnsi="Century Gothic"/>
          <w:b/>
          <w:sz w:val="24"/>
          <w:szCs w:val="24"/>
        </w:rPr>
        <w:t xml:space="preserve"> – </w:t>
      </w:r>
      <w:r>
        <w:rPr>
          <w:rFonts w:ascii="Century Gothic" w:hAnsi="Century Gothic"/>
          <w:b/>
          <w:sz w:val="24"/>
          <w:szCs w:val="24"/>
        </w:rPr>
        <w:t>ESFA Sub-contracting Standard</w:t>
      </w:r>
      <w:r w:rsidRPr="00D45F06">
        <w:rPr>
          <w:rFonts w:ascii="Century Gothic" w:hAnsi="Century Gothic"/>
          <w:b/>
          <w:sz w:val="24"/>
          <w:szCs w:val="24"/>
        </w:rPr>
        <w:t xml:space="preserve"> </w:t>
      </w:r>
      <w:r w:rsidR="00CD06D2">
        <w:rPr>
          <w:rFonts w:ascii="Century Gothic" w:hAnsi="Century Gothic"/>
          <w:b/>
          <w:sz w:val="24"/>
          <w:szCs w:val="24"/>
        </w:rPr>
        <w:t>2022/23</w:t>
      </w:r>
    </w:p>
    <w:p w14:paraId="48FF52EE" w14:textId="77777777" w:rsidR="005D11A2" w:rsidRDefault="005D11A2" w:rsidP="00981E1A">
      <w:pPr>
        <w:spacing w:before="120" w:after="0" w:line="240" w:lineRule="auto"/>
        <w:rPr>
          <w:rFonts w:ascii="Century Gothic" w:hAnsi="Century Gothic"/>
        </w:rPr>
      </w:pPr>
    </w:p>
    <w:p w14:paraId="061D4623" w14:textId="77777777" w:rsidR="006941EE" w:rsidRDefault="006941EE" w:rsidP="006941EE">
      <w:pPr>
        <w:pStyle w:val="BodyText"/>
        <w:ind w:left="114"/>
        <w:rPr>
          <w:rFonts w:ascii="Times New Roman"/>
          <w:sz w:val="20"/>
        </w:rPr>
      </w:pPr>
      <w:r>
        <w:rPr>
          <w:rFonts w:ascii="Times New Roman"/>
          <w:noProof/>
          <w:sz w:val="20"/>
          <w:lang w:val="en-GB" w:eastAsia="en-GB"/>
        </w:rPr>
        <w:drawing>
          <wp:inline distT="0" distB="0" distL="0" distR="0" wp14:anchorId="3C90A2BB" wp14:editId="13BFAF23">
            <wp:extent cx="1677460" cy="838200"/>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677460" cy="838200"/>
                    </a:xfrm>
                    <a:prstGeom prst="rect">
                      <a:avLst/>
                    </a:prstGeom>
                  </pic:spPr>
                </pic:pic>
              </a:graphicData>
            </a:graphic>
          </wp:inline>
        </w:drawing>
      </w:r>
    </w:p>
    <w:p w14:paraId="2C185FBE" w14:textId="77777777" w:rsidR="006941EE" w:rsidRDefault="006941EE" w:rsidP="006941EE">
      <w:pPr>
        <w:pStyle w:val="BodyText"/>
        <w:rPr>
          <w:rFonts w:ascii="Times New Roman"/>
          <w:sz w:val="20"/>
        </w:rPr>
      </w:pPr>
    </w:p>
    <w:p w14:paraId="3E1DCA40" w14:textId="77777777" w:rsidR="006941EE" w:rsidRDefault="006941EE" w:rsidP="006941EE">
      <w:pPr>
        <w:pStyle w:val="BodyText"/>
        <w:rPr>
          <w:rFonts w:ascii="Times New Roman"/>
          <w:sz w:val="20"/>
        </w:rPr>
      </w:pPr>
    </w:p>
    <w:p w14:paraId="17E4C501" w14:textId="77777777" w:rsidR="006941EE" w:rsidRDefault="006941EE" w:rsidP="006941EE">
      <w:pPr>
        <w:pStyle w:val="BodyText"/>
        <w:rPr>
          <w:rFonts w:ascii="Times New Roman"/>
          <w:sz w:val="20"/>
        </w:rPr>
      </w:pPr>
    </w:p>
    <w:p w14:paraId="3E668357" w14:textId="77777777" w:rsidR="006941EE" w:rsidRDefault="006941EE" w:rsidP="006941EE">
      <w:pPr>
        <w:pStyle w:val="BodyText"/>
        <w:rPr>
          <w:rFonts w:ascii="Times New Roman"/>
          <w:sz w:val="20"/>
        </w:rPr>
      </w:pPr>
    </w:p>
    <w:p w14:paraId="7DC9817C" w14:textId="77777777" w:rsidR="006941EE" w:rsidRDefault="006941EE" w:rsidP="006941EE">
      <w:pPr>
        <w:pStyle w:val="BodyText"/>
        <w:rPr>
          <w:rFonts w:ascii="Times New Roman"/>
          <w:sz w:val="20"/>
        </w:rPr>
      </w:pPr>
    </w:p>
    <w:p w14:paraId="36796CEE" w14:textId="77777777" w:rsidR="006941EE" w:rsidRDefault="006941EE" w:rsidP="006941EE">
      <w:pPr>
        <w:pStyle w:val="BodyText"/>
        <w:rPr>
          <w:rFonts w:ascii="Times New Roman"/>
          <w:sz w:val="20"/>
        </w:rPr>
      </w:pPr>
    </w:p>
    <w:p w14:paraId="6B54BC1A" w14:textId="77777777" w:rsidR="006941EE" w:rsidRDefault="006941EE" w:rsidP="006941EE">
      <w:pPr>
        <w:pStyle w:val="BodyText"/>
        <w:rPr>
          <w:rFonts w:ascii="Times New Roman"/>
          <w:sz w:val="20"/>
        </w:rPr>
      </w:pPr>
    </w:p>
    <w:p w14:paraId="2CC122E3" w14:textId="77777777" w:rsidR="006941EE" w:rsidRDefault="006941EE" w:rsidP="006941EE">
      <w:pPr>
        <w:pStyle w:val="BodyText"/>
        <w:rPr>
          <w:rFonts w:ascii="Times New Roman"/>
          <w:sz w:val="20"/>
        </w:rPr>
      </w:pPr>
    </w:p>
    <w:p w14:paraId="0864389B" w14:textId="77777777" w:rsidR="006941EE" w:rsidRDefault="006941EE" w:rsidP="006941EE">
      <w:pPr>
        <w:pStyle w:val="BodyText"/>
        <w:rPr>
          <w:rFonts w:ascii="Times New Roman"/>
          <w:sz w:val="20"/>
        </w:rPr>
      </w:pPr>
    </w:p>
    <w:p w14:paraId="07DC597F" w14:textId="77777777" w:rsidR="006941EE" w:rsidRDefault="006941EE" w:rsidP="006941EE">
      <w:pPr>
        <w:pStyle w:val="BodyText"/>
        <w:rPr>
          <w:rFonts w:ascii="Times New Roman"/>
          <w:sz w:val="20"/>
        </w:rPr>
      </w:pPr>
    </w:p>
    <w:p w14:paraId="2B61FFAE" w14:textId="77777777" w:rsidR="006941EE" w:rsidRDefault="006941EE" w:rsidP="006941EE">
      <w:pPr>
        <w:pStyle w:val="BodyText"/>
        <w:rPr>
          <w:rFonts w:ascii="Times New Roman"/>
          <w:sz w:val="20"/>
        </w:rPr>
      </w:pPr>
    </w:p>
    <w:p w14:paraId="699A85EF" w14:textId="77777777" w:rsidR="006941EE" w:rsidRDefault="006941EE" w:rsidP="006941EE">
      <w:pPr>
        <w:pStyle w:val="BodyText"/>
        <w:rPr>
          <w:rFonts w:ascii="Times New Roman"/>
          <w:sz w:val="20"/>
        </w:rPr>
      </w:pPr>
    </w:p>
    <w:p w14:paraId="681105DA" w14:textId="77777777" w:rsidR="006941EE" w:rsidRDefault="006941EE" w:rsidP="006941EE">
      <w:pPr>
        <w:pStyle w:val="BodyText"/>
        <w:rPr>
          <w:rFonts w:ascii="Times New Roman"/>
          <w:sz w:val="20"/>
        </w:rPr>
      </w:pPr>
    </w:p>
    <w:p w14:paraId="701A68D7" w14:textId="77777777" w:rsidR="006941EE" w:rsidRDefault="006941EE" w:rsidP="006941EE">
      <w:pPr>
        <w:pStyle w:val="BodyText"/>
        <w:rPr>
          <w:rFonts w:ascii="Times New Roman"/>
          <w:sz w:val="20"/>
        </w:rPr>
      </w:pPr>
    </w:p>
    <w:p w14:paraId="4034E87B" w14:textId="77777777" w:rsidR="006941EE" w:rsidRDefault="006941EE" w:rsidP="006941EE">
      <w:pPr>
        <w:pStyle w:val="BodyText"/>
        <w:rPr>
          <w:rFonts w:ascii="Times New Roman"/>
          <w:sz w:val="20"/>
        </w:rPr>
      </w:pPr>
    </w:p>
    <w:p w14:paraId="48C79192" w14:textId="77777777" w:rsidR="006941EE" w:rsidRDefault="006941EE" w:rsidP="006941EE">
      <w:pPr>
        <w:pStyle w:val="BodyText"/>
        <w:rPr>
          <w:rFonts w:ascii="Times New Roman"/>
          <w:sz w:val="20"/>
        </w:rPr>
      </w:pPr>
    </w:p>
    <w:p w14:paraId="2B28748B" w14:textId="77777777" w:rsidR="006941EE" w:rsidRDefault="006941EE" w:rsidP="006941EE">
      <w:pPr>
        <w:pStyle w:val="BodyText"/>
        <w:spacing w:before="6"/>
        <w:rPr>
          <w:rFonts w:ascii="Times New Roman"/>
          <w:sz w:val="25"/>
        </w:rPr>
      </w:pPr>
    </w:p>
    <w:p w14:paraId="4A0BBE8E" w14:textId="77777777" w:rsidR="006941EE" w:rsidRDefault="006941EE" w:rsidP="006941EE">
      <w:pPr>
        <w:spacing w:before="69"/>
        <w:ind w:left="112" w:right="2971"/>
        <w:rPr>
          <w:b/>
          <w:sz w:val="92"/>
        </w:rPr>
      </w:pPr>
      <w:r>
        <w:rPr>
          <w:b/>
          <w:color w:val="0F4F75"/>
          <w:sz w:val="92"/>
        </w:rPr>
        <w:t>Subcontracting standard</w:t>
      </w:r>
    </w:p>
    <w:p w14:paraId="3F9A210E" w14:textId="77777777" w:rsidR="006941EE" w:rsidRDefault="006941EE" w:rsidP="006941EE">
      <w:pPr>
        <w:spacing w:before="242" w:line="288" w:lineRule="auto"/>
        <w:ind w:left="112" w:right="381"/>
        <w:rPr>
          <w:b/>
          <w:sz w:val="48"/>
        </w:rPr>
      </w:pPr>
      <w:r>
        <w:rPr>
          <w:b/>
          <w:color w:val="0F4F75"/>
          <w:sz w:val="48"/>
        </w:rPr>
        <w:t>Subcontracting assurance arrangements for all post-16 providers</w:t>
      </w:r>
    </w:p>
    <w:p w14:paraId="16F2FD44" w14:textId="77777777" w:rsidR="006941EE" w:rsidRDefault="006941EE" w:rsidP="006941EE">
      <w:pPr>
        <w:pStyle w:val="BodyText"/>
        <w:rPr>
          <w:b/>
          <w:sz w:val="54"/>
        </w:rPr>
      </w:pPr>
    </w:p>
    <w:p w14:paraId="02EAD1C1" w14:textId="77777777" w:rsidR="006941EE" w:rsidRDefault="006941EE" w:rsidP="006941EE">
      <w:pPr>
        <w:pStyle w:val="BodyText"/>
        <w:rPr>
          <w:b/>
          <w:sz w:val="54"/>
        </w:rPr>
      </w:pPr>
    </w:p>
    <w:p w14:paraId="057D877F" w14:textId="77777777" w:rsidR="006941EE" w:rsidRDefault="006941EE" w:rsidP="006941EE">
      <w:pPr>
        <w:pStyle w:val="BodyText"/>
        <w:rPr>
          <w:b/>
          <w:sz w:val="54"/>
        </w:rPr>
      </w:pPr>
    </w:p>
    <w:p w14:paraId="3BC3D753" w14:textId="77777777" w:rsidR="006941EE" w:rsidRDefault="006941EE" w:rsidP="006941EE">
      <w:pPr>
        <w:pStyle w:val="BodyText"/>
        <w:rPr>
          <w:b/>
          <w:sz w:val="54"/>
        </w:rPr>
      </w:pPr>
    </w:p>
    <w:p w14:paraId="632860DC" w14:textId="77777777" w:rsidR="006941EE" w:rsidRDefault="006941EE" w:rsidP="006941EE">
      <w:pPr>
        <w:pStyle w:val="BodyText"/>
        <w:spacing w:before="1"/>
        <w:rPr>
          <w:b/>
          <w:sz w:val="65"/>
        </w:rPr>
      </w:pPr>
    </w:p>
    <w:p w14:paraId="1F18C10C" w14:textId="77777777" w:rsidR="006941EE" w:rsidRDefault="006941EE" w:rsidP="006941EE">
      <w:pPr>
        <w:ind w:left="112"/>
        <w:rPr>
          <w:b/>
          <w:sz w:val="44"/>
        </w:rPr>
      </w:pPr>
      <w:r>
        <w:rPr>
          <w:b/>
          <w:color w:val="0F4F75"/>
          <w:sz w:val="44"/>
        </w:rPr>
        <w:t xml:space="preserve">July </w:t>
      </w:r>
      <w:r w:rsidR="00CD06D2">
        <w:rPr>
          <w:b/>
          <w:color w:val="0F4F75"/>
          <w:sz w:val="44"/>
        </w:rPr>
        <w:t>2022</w:t>
      </w:r>
    </w:p>
    <w:p w14:paraId="13B2BD22" w14:textId="77777777" w:rsidR="006941EE" w:rsidRDefault="006941EE" w:rsidP="006941EE">
      <w:pPr>
        <w:rPr>
          <w:sz w:val="44"/>
        </w:rPr>
        <w:sectPr w:rsidR="006941EE" w:rsidSect="00A7608E">
          <w:footerReference w:type="default" r:id="rId16"/>
          <w:pgSz w:w="11910" w:h="16840"/>
          <w:pgMar w:top="1120" w:right="1040" w:bottom="280" w:left="1020" w:header="720" w:footer="720" w:gutter="0"/>
          <w:cols w:space="720"/>
        </w:sectPr>
      </w:pPr>
    </w:p>
    <w:p w14:paraId="4B0E77AD" w14:textId="77777777" w:rsidR="006941EE" w:rsidRDefault="006941EE" w:rsidP="006941EE">
      <w:pPr>
        <w:spacing w:before="75"/>
        <w:ind w:left="112"/>
        <w:rPr>
          <w:b/>
          <w:sz w:val="36"/>
        </w:rPr>
      </w:pPr>
      <w:r>
        <w:rPr>
          <w:b/>
          <w:color w:val="0F4F75"/>
          <w:sz w:val="36"/>
        </w:rPr>
        <w:lastRenderedPageBreak/>
        <w:t>Contents</w:t>
      </w:r>
    </w:p>
    <w:sdt>
      <w:sdtPr>
        <w:rPr>
          <w:rFonts w:asciiTheme="minorHAnsi" w:eastAsiaTheme="minorHAnsi" w:hAnsiTheme="minorHAnsi" w:cstheme="minorBidi"/>
          <w:sz w:val="22"/>
          <w:szCs w:val="22"/>
          <w:lang w:val="en-GB"/>
        </w:rPr>
        <w:id w:val="-1644882388"/>
        <w:docPartObj>
          <w:docPartGallery w:val="Table of Contents"/>
          <w:docPartUnique/>
        </w:docPartObj>
      </w:sdtPr>
      <w:sdtEndPr/>
      <w:sdtContent>
        <w:p w14:paraId="0511F5C7" w14:textId="77777777" w:rsidR="006941EE" w:rsidRDefault="006941EE" w:rsidP="006941EE">
          <w:pPr>
            <w:pStyle w:val="TOC1"/>
            <w:tabs>
              <w:tab w:val="right" w:pos="9610"/>
            </w:tabs>
            <w:spacing w:before="241"/>
            <w:ind w:left="112" w:firstLine="0"/>
          </w:pPr>
          <w:r>
            <w:fldChar w:fldCharType="begin"/>
          </w:r>
          <w:r>
            <w:instrText xml:space="preserve">TOC \o "1-1" \h \z \u </w:instrText>
          </w:r>
          <w:r>
            <w:fldChar w:fldCharType="separate"/>
          </w:r>
          <w:hyperlink w:anchor="_TOC_250014" w:history="1">
            <w:r>
              <w:rPr>
                <w:color w:val="0D0D0D"/>
              </w:rPr>
              <w:t>Introduction</w:t>
            </w:r>
            <w:r>
              <w:rPr>
                <w:color w:val="0D0D0D"/>
              </w:rPr>
              <w:tab/>
              <w:t>3</w:t>
            </w:r>
          </w:hyperlink>
        </w:p>
        <w:p w14:paraId="1D0E832D" w14:textId="77777777" w:rsidR="006941EE" w:rsidRDefault="006165FD" w:rsidP="006941EE">
          <w:pPr>
            <w:pStyle w:val="TOC1"/>
            <w:tabs>
              <w:tab w:val="right" w:pos="9610"/>
            </w:tabs>
            <w:ind w:left="112" w:firstLine="0"/>
          </w:pPr>
          <w:hyperlink w:anchor="_TOC_250013" w:history="1">
            <w:r w:rsidR="006941EE">
              <w:rPr>
                <w:color w:val="0D0D0D"/>
              </w:rPr>
              <w:t>Definitions</w:t>
            </w:r>
            <w:r w:rsidR="006941EE">
              <w:rPr>
                <w:color w:val="0D0D0D"/>
              </w:rPr>
              <w:tab/>
              <w:t>4</w:t>
            </w:r>
          </w:hyperlink>
        </w:p>
        <w:p w14:paraId="50CB0B72" w14:textId="77777777" w:rsidR="006941EE" w:rsidRDefault="006165FD" w:rsidP="006941EE">
          <w:pPr>
            <w:pStyle w:val="TOC1"/>
            <w:tabs>
              <w:tab w:val="right" w:pos="9610"/>
            </w:tabs>
            <w:spacing w:before="176"/>
            <w:ind w:left="112" w:firstLine="0"/>
          </w:pPr>
          <w:hyperlink w:anchor="_TOC_250012" w:history="1">
            <w:r w:rsidR="006941EE">
              <w:rPr>
                <w:color w:val="0D0D0D"/>
              </w:rPr>
              <w:t>Transitional</w:t>
            </w:r>
            <w:r w:rsidR="006941EE">
              <w:rPr>
                <w:color w:val="0D0D0D"/>
                <w:spacing w:val="-4"/>
              </w:rPr>
              <w:t xml:space="preserve"> </w:t>
            </w:r>
            <w:r w:rsidR="006941EE">
              <w:rPr>
                <w:color w:val="0D0D0D"/>
              </w:rPr>
              <w:t>arrangements</w:t>
            </w:r>
            <w:r w:rsidR="006941EE">
              <w:rPr>
                <w:color w:val="0D0D0D"/>
              </w:rPr>
              <w:tab/>
              <w:t>5</w:t>
            </w:r>
          </w:hyperlink>
        </w:p>
        <w:p w14:paraId="1882F3CD" w14:textId="77777777" w:rsidR="006941EE" w:rsidRDefault="006165FD" w:rsidP="006941EE">
          <w:pPr>
            <w:pStyle w:val="TOC1"/>
            <w:numPr>
              <w:ilvl w:val="0"/>
              <w:numId w:val="20"/>
            </w:numPr>
            <w:tabs>
              <w:tab w:val="left" w:pos="593"/>
              <w:tab w:val="left" w:pos="594"/>
              <w:tab w:val="right" w:pos="9610"/>
            </w:tabs>
            <w:ind w:hanging="482"/>
          </w:pPr>
          <w:hyperlink w:anchor="_TOC_250011" w:history="1">
            <w:r w:rsidR="006941EE">
              <w:rPr>
                <w:color w:val="0D0D0D"/>
              </w:rPr>
              <w:t>Pre-award</w:t>
            </w:r>
            <w:r w:rsidR="006941EE">
              <w:rPr>
                <w:color w:val="0D0D0D"/>
                <w:spacing w:val="-1"/>
              </w:rPr>
              <w:t xml:space="preserve"> </w:t>
            </w:r>
            <w:r w:rsidR="006941EE">
              <w:rPr>
                <w:color w:val="0D0D0D"/>
              </w:rPr>
              <w:t>activities</w:t>
            </w:r>
            <w:r w:rsidR="006941EE">
              <w:rPr>
                <w:color w:val="0D0D0D"/>
              </w:rPr>
              <w:tab/>
              <w:t>7</w:t>
            </w:r>
          </w:hyperlink>
        </w:p>
        <w:p w14:paraId="72CFBBB6" w14:textId="77777777" w:rsidR="006941EE" w:rsidRDefault="006165FD" w:rsidP="006941EE">
          <w:pPr>
            <w:pStyle w:val="TOC1"/>
            <w:numPr>
              <w:ilvl w:val="0"/>
              <w:numId w:val="20"/>
            </w:numPr>
            <w:tabs>
              <w:tab w:val="left" w:pos="593"/>
              <w:tab w:val="left" w:pos="594"/>
              <w:tab w:val="right" w:pos="9610"/>
            </w:tabs>
            <w:ind w:hanging="482"/>
          </w:pPr>
          <w:hyperlink w:anchor="_TOC_250010" w:history="1">
            <w:r w:rsidR="006941EE">
              <w:rPr>
                <w:color w:val="0D0D0D"/>
              </w:rPr>
              <w:t>Contract award</w:t>
            </w:r>
            <w:r w:rsidR="006941EE">
              <w:rPr>
                <w:color w:val="0D0D0D"/>
                <w:spacing w:val="-3"/>
              </w:rPr>
              <w:t xml:space="preserve"> </w:t>
            </w:r>
            <w:r w:rsidR="006941EE">
              <w:rPr>
                <w:color w:val="0D0D0D"/>
              </w:rPr>
              <w:t>and</w:t>
            </w:r>
            <w:r w:rsidR="006941EE">
              <w:rPr>
                <w:color w:val="0D0D0D"/>
                <w:spacing w:val="-2"/>
              </w:rPr>
              <w:t xml:space="preserve"> </w:t>
            </w:r>
            <w:r w:rsidR="006941EE">
              <w:rPr>
                <w:color w:val="0D0D0D"/>
              </w:rPr>
              <w:t>management</w:t>
            </w:r>
            <w:r w:rsidR="006941EE">
              <w:rPr>
                <w:color w:val="0D0D0D"/>
              </w:rPr>
              <w:tab/>
              <w:t>9</w:t>
            </w:r>
          </w:hyperlink>
        </w:p>
        <w:p w14:paraId="266136D2" w14:textId="77777777" w:rsidR="006941EE" w:rsidRDefault="006165FD" w:rsidP="006941EE">
          <w:pPr>
            <w:pStyle w:val="TOC1"/>
            <w:numPr>
              <w:ilvl w:val="0"/>
              <w:numId w:val="20"/>
            </w:numPr>
            <w:tabs>
              <w:tab w:val="left" w:pos="593"/>
              <w:tab w:val="left" w:pos="594"/>
              <w:tab w:val="right" w:pos="9613"/>
            </w:tabs>
            <w:ind w:hanging="482"/>
          </w:pPr>
          <w:hyperlink w:anchor="_TOC_250009" w:history="1">
            <w:r w:rsidR="006941EE">
              <w:rPr>
                <w:color w:val="0D0D0D"/>
              </w:rPr>
              <w:t>People</w:t>
            </w:r>
            <w:r w:rsidR="006941EE">
              <w:rPr>
                <w:color w:val="0D0D0D"/>
              </w:rPr>
              <w:tab/>
              <w:t>11</w:t>
            </w:r>
          </w:hyperlink>
        </w:p>
        <w:p w14:paraId="7A80D9F2" w14:textId="77777777" w:rsidR="006941EE" w:rsidRDefault="006165FD" w:rsidP="006941EE">
          <w:pPr>
            <w:pStyle w:val="TOC1"/>
            <w:numPr>
              <w:ilvl w:val="0"/>
              <w:numId w:val="20"/>
            </w:numPr>
            <w:tabs>
              <w:tab w:val="left" w:pos="593"/>
              <w:tab w:val="left" w:pos="594"/>
              <w:tab w:val="right" w:pos="9613"/>
            </w:tabs>
            <w:spacing w:before="176"/>
            <w:ind w:hanging="482"/>
          </w:pPr>
          <w:hyperlink w:anchor="_TOC_250008" w:history="1">
            <w:r w:rsidR="006941EE">
              <w:rPr>
                <w:color w:val="0D0D0D"/>
              </w:rPr>
              <w:t>Administration</w:t>
            </w:r>
            <w:r w:rsidR="006941EE">
              <w:rPr>
                <w:color w:val="0D0D0D"/>
              </w:rPr>
              <w:tab/>
              <w:t>12</w:t>
            </w:r>
          </w:hyperlink>
        </w:p>
        <w:p w14:paraId="3C3619F1" w14:textId="77777777" w:rsidR="006941EE" w:rsidRDefault="006165FD" w:rsidP="006941EE">
          <w:pPr>
            <w:pStyle w:val="TOC1"/>
            <w:numPr>
              <w:ilvl w:val="0"/>
              <w:numId w:val="20"/>
            </w:numPr>
            <w:tabs>
              <w:tab w:val="left" w:pos="593"/>
              <w:tab w:val="left" w:pos="594"/>
              <w:tab w:val="right" w:pos="9613"/>
            </w:tabs>
            <w:ind w:hanging="482"/>
          </w:pPr>
          <w:hyperlink w:anchor="_TOC_250007" w:history="1">
            <w:r w:rsidR="006941EE">
              <w:rPr>
                <w:color w:val="0D0D0D"/>
              </w:rPr>
              <w:t>Managing</w:t>
            </w:r>
            <w:r w:rsidR="006941EE">
              <w:rPr>
                <w:color w:val="0D0D0D"/>
                <w:spacing w:val="-1"/>
              </w:rPr>
              <w:t xml:space="preserve"> </w:t>
            </w:r>
            <w:r w:rsidR="006941EE">
              <w:rPr>
                <w:color w:val="0D0D0D"/>
              </w:rPr>
              <w:t>relationships</w:t>
            </w:r>
            <w:r w:rsidR="006941EE">
              <w:rPr>
                <w:color w:val="0D0D0D"/>
              </w:rPr>
              <w:tab/>
              <w:t>13</w:t>
            </w:r>
          </w:hyperlink>
        </w:p>
        <w:p w14:paraId="028E044D" w14:textId="77777777" w:rsidR="006941EE" w:rsidRDefault="006165FD" w:rsidP="006941EE">
          <w:pPr>
            <w:pStyle w:val="TOC1"/>
            <w:numPr>
              <w:ilvl w:val="0"/>
              <w:numId w:val="20"/>
            </w:numPr>
            <w:tabs>
              <w:tab w:val="left" w:pos="593"/>
              <w:tab w:val="left" w:pos="594"/>
              <w:tab w:val="right" w:pos="9613"/>
            </w:tabs>
            <w:spacing w:before="176"/>
            <w:ind w:hanging="482"/>
          </w:pPr>
          <w:hyperlink w:anchor="_TOC_250006" w:history="1">
            <w:r w:rsidR="006941EE">
              <w:rPr>
                <w:color w:val="0D0D0D"/>
              </w:rPr>
              <w:t>Managing</w:t>
            </w:r>
            <w:r w:rsidR="006941EE">
              <w:rPr>
                <w:color w:val="0D0D0D"/>
                <w:spacing w:val="-1"/>
              </w:rPr>
              <w:t xml:space="preserve"> </w:t>
            </w:r>
            <w:r w:rsidR="006941EE">
              <w:rPr>
                <w:color w:val="0D0D0D"/>
              </w:rPr>
              <w:t>performance</w:t>
            </w:r>
            <w:r w:rsidR="006941EE">
              <w:rPr>
                <w:color w:val="0D0D0D"/>
              </w:rPr>
              <w:tab/>
              <w:t>14</w:t>
            </w:r>
          </w:hyperlink>
        </w:p>
        <w:p w14:paraId="1D47B7F8" w14:textId="77777777" w:rsidR="006941EE" w:rsidRDefault="006165FD" w:rsidP="006941EE">
          <w:pPr>
            <w:pStyle w:val="TOC1"/>
            <w:numPr>
              <w:ilvl w:val="0"/>
              <w:numId w:val="20"/>
            </w:numPr>
            <w:tabs>
              <w:tab w:val="left" w:pos="593"/>
              <w:tab w:val="left" w:pos="594"/>
              <w:tab w:val="right" w:pos="9612"/>
            </w:tabs>
            <w:ind w:hanging="482"/>
          </w:pPr>
          <w:hyperlink w:anchor="_TOC_250005" w:history="1">
            <w:r w:rsidR="006941EE">
              <w:rPr>
                <w:color w:val="0D0D0D"/>
              </w:rPr>
              <w:t>Payments</w:t>
            </w:r>
            <w:r w:rsidR="006941EE">
              <w:rPr>
                <w:color w:val="0D0D0D"/>
                <w:spacing w:val="-3"/>
              </w:rPr>
              <w:t xml:space="preserve"> </w:t>
            </w:r>
            <w:r w:rsidR="006941EE">
              <w:rPr>
                <w:color w:val="0D0D0D"/>
              </w:rPr>
              <w:t>and incentives</w:t>
            </w:r>
            <w:r w:rsidR="006941EE">
              <w:rPr>
                <w:color w:val="0D0D0D"/>
              </w:rPr>
              <w:tab/>
              <w:t>15</w:t>
            </w:r>
          </w:hyperlink>
        </w:p>
        <w:p w14:paraId="63696F33" w14:textId="77777777" w:rsidR="006941EE" w:rsidRDefault="006165FD" w:rsidP="006941EE">
          <w:pPr>
            <w:pStyle w:val="TOC1"/>
            <w:numPr>
              <w:ilvl w:val="0"/>
              <w:numId w:val="20"/>
            </w:numPr>
            <w:tabs>
              <w:tab w:val="left" w:pos="593"/>
              <w:tab w:val="left" w:pos="594"/>
              <w:tab w:val="right" w:pos="9613"/>
            </w:tabs>
            <w:ind w:hanging="482"/>
          </w:pPr>
          <w:hyperlink w:anchor="_TOC_250004" w:history="1">
            <w:r w:rsidR="006941EE">
              <w:rPr>
                <w:color w:val="0D0D0D"/>
              </w:rPr>
              <w:t>Risk</w:t>
            </w:r>
            <w:r w:rsidR="006941EE">
              <w:rPr>
                <w:color w:val="0D0D0D"/>
                <w:spacing w:val="-1"/>
              </w:rPr>
              <w:t xml:space="preserve"> </w:t>
            </w:r>
            <w:r w:rsidR="006941EE">
              <w:rPr>
                <w:color w:val="0D0D0D"/>
              </w:rPr>
              <w:t>management</w:t>
            </w:r>
            <w:r w:rsidR="006941EE">
              <w:rPr>
                <w:color w:val="0D0D0D"/>
              </w:rPr>
              <w:tab/>
              <w:t>16</w:t>
            </w:r>
          </w:hyperlink>
        </w:p>
        <w:p w14:paraId="5EDBDAA8" w14:textId="77777777" w:rsidR="006941EE" w:rsidRDefault="006165FD" w:rsidP="006941EE">
          <w:pPr>
            <w:pStyle w:val="TOC1"/>
            <w:numPr>
              <w:ilvl w:val="0"/>
              <w:numId w:val="20"/>
            </w:numPr>
            <w:tabs>
              <w:tab w:val="left" w:pos="593"/>
              <w:tab w:val="left" w:pos="594"/>
              <w:tab w:val="right" w:pos="9613"/>
            </w:tabs>
            <w:ind w:hanging="482"/>
          </w:pPr>
          <w:hyperlink w:anchor="_TOC_250003" w:history="1">
            <w:r w:rsidR="006941EE">
              <w:rPr>
                <w:color w:val="0D0D0D"/>
              </w:rPr>
              <w:t>Contract development</w:t>
            </w:r>
            <w:r w:rsidR="006941EE">
              <w:rPr>
                <w:color w:val="0D0D0D"/>
                <w:spacing w:val="-5"/>
              </w:rPr>
              <w:t xml:space="preserve"> </w:t>
            </w:r>
            <w:r w:rsidR="006941EE">
              <w:rPr>
                <w:color w:val="0D0D0D"/>
              </w:rPr>
              <w:t>and/or termination</w:t>
            </w:r>
            <w:r w:rsidR="006941EE">
              <w:rPr>
                <w:color w:val="0D0D0D"/>
              </w:rPr>
              <w:tab/>
              <w:t>17</w:t>
            </w:r>
          </w:hyperlink>
        </w:p>
        <w:p w14:paraId="336044C9" w14:textId="77777777" w:rsidR="006941EE" w:rsidRDefault="006165FD" w:rsidP="006941EE">
          <w:pPr>
            <w:pStyle w:val="TOC1"/>
            <w:numPr>
              <w:ilvl w:val="0"/>
              <w:numId w:val="20"/>
            </w:numPr>
            <w:tabs>
              <w:tab w:val="left" w:pos="773"/>
              <w:tab w:val="left" w:pos="774"/>
              <w:tab w:val="right" w:pos="9613"/>
            </w:tabs>
            <w:ind w:left="773" w:hanging="662"/>
          </w:pPr>
          <w:hyperlink w:anchor="_TOC_250002" w:history="1">
            <w:r w:rsidR="006941EE">
              <w:rPr>
                <w:color w:val="0D0D0D"/>
              </w:rPr>
              <w:t>Provider</w:t>
            </w:r>
            <w:r w:rsidR="006941EE">
              <w:rPr>
                <w:color w:val="0D0D0D"/>
                <w:spacing w:val="-1"/>
              </w:rPr>
              <w:t xml:space="preserve"> </w:t>
            </w:r>
            <w:r w:rsidR="006941EE">
              <w:rPr>
                <w:color w:val="0D0D0D"/>
              </w:rPr>
              <w:t>development</w:t>
            </w:r>
            <w:r w:rsidR="006941EE">
              <w:rPr>
                <w:color w:val="0D0D0D"/>
              </w:rPr>
              <w:tab/>
              <w:t>18</w:t>
            </w:r>
          </w:hyperlink>
        </w:p>
        <w:p w14:paraId="0F3BA020" w14:textId="77777777" w:rsidR="006941EE" w:rsidRDefault="006165FD" w:rsidP="006941EE">
          <w:pPr>
            <w:pStyle w:val="TOC1"/>
            <w:tabs>
              <w:tab w:val="right" w:pos="9613"/>
            </w:tabs>
            <w:spacing w:before="176"/>
            <w:ind w:left="112" w:firstLine="0"/>
          </w:pPr>
          <w:hyperlink w:anchor="_TOC_250001" w:history="1">
            <w:r w:rsidR="006941EE">
              <w:rPr>
                <w:color w:val="0D0D0D"/>
              </w:rPr>
              <w:t>Annex A –</w:t>
            </w:r>
            <w:r w:rsidR="006941EE">
              <w:rPr>
                <w:color w:val="0D0D0D"/>
                <w:spacing w:val="-3"/>
              </w:rPr>
              <w:t xml:space="preserve"> </w:t>
            </w:r>
            <w:r w:rsidR="006941EE">
              <w:rPr>
                <w:color w:val="0D0D0D"/>
              </w:rPr>
              <w:t>Reporting requirements</w:t>
            </w:r>
            <w:r w:rsidR="006941EE">
              <w:rPr>
                <w:color w:val="0D0D0D"/>
              </w:rPr>
              <w:tab/>
              <w:t>19</w:t>
            </w:r>
          </w:hyperlink>
        </w:p>
        <w:p w14:paraId="7D7A9B93" w14:textId="77777777" w:rsidR="006941EE" w:rsidRDefault="006165FD" w:rsidP="006941EE">
          <w:pPr>
            <w:pStyle w:val="TOC1"/>
            <w:tabs>
              <w:tab w:val="right" w:pos="9613"/>
            </w:tabs>
            <w:ind w:left="112" w:firstLine="0"/>
          </w:pPr>
          <w:hyperlink w:anchor="_TOC_250000" w:history="1">
            <w:r w:rsidR="006941EE">
              <w:rPr>
                <w:color w:val="0D0D0D"/>
              </w:rPr>
              <w:t>Annex B –</w:t>
            </w:r>
            <w:r w:rsidR="006941EE">
              <w:rPr>
                <w:color w:val="0D0D0D"/>
                <w:spacing w:val="-3"/>
              </w:rPr>
              <w:t xml:space="preserve"> </w:t>
            </w:r>
            <w:r w:rsidR="006941EE">
              <w:rPr>
                <w:color w:val="0D0D0D"/>
              </w:rPr>
              <w:t>Example report</w:t>
            </w:r>
            <w:r w:rsidR="006941EE">
              <w:rPr>
                <w:color w:val="0D0D0D"/>
              </w:rPr>
              <w:tab/>
              <w:t>20</w:t>
            </w:r>
          </w:hyperlink>
        </w:p>
        <w:p w14:paraId="63AF6032" w14:textId="77777777" w:rsidR="006941EE" w:rsidRDefault="006941EE" w:rsidP="006941EE">
          <w:r>
            <w:fldChar w:fldCharType="end"/>
          </w:r>
        </w:p>
      </w:sdtContent>
    </w:sdt>
    <w:p w14:paraId="5A0A3980" w14:textId="77777777" w:rsidR="006941EE" w:rsidRDefault="006941EE" w:rsidP="006941EE">
      <w:pPr>
        <w:sectPr w:rsidR="006941EE" w:rsidSect="00A7608E">
          <w:footerReference w:type="default" r:id="rId17"/>
          <w:pgSz w:w="11910" w:h="16840"/>
          <w:pgMar w:top="1040" w:right="1040" w:bottom="960" w:left="1020" w:header="0" w:footer="776" w:gutter="0"/>
          <w:pgNumType w:start="2"/>
          <w:cols w:space="720"/>
        </w:sectPr>
      </w:pPr>
    </w:p>
    <w:p w14:paraId="554CCD73" w14:textId="77777777" w:rsidR="006941EE" w:rsidRDefault="006941EE" w:rsidP="006941EE">
      <w:pPr>
        <w:pStyle w:val="Heading1"/>
        <w:ind w:left="112"/>
      </w:pPr>
      <w:bookmarkStart w:id="0" w:name="_TOC_250014"/>
      <w:bookmarkEnd w:id="0"/>
      <w:r>
        <w:rPr>
          <w:color w:val="0F4F75"/>
        </w:rPr>
        <w:lastRenderedPageBreak/>
        <w:t>Introduction</w:t>
      </w:r>
    </w:p>
    <w:p w14:paraId="7E728878" w14:textId="77777777" w:rsidR="006941EE" w:rsidRDefault="006941EE" w:rsidP="006941EE">
      <w:pPr>
        <w:pStyle w:val="BodyText"/>
        <w:spacing w:before="241"/>
        <w:ind w:left="112" w:right="313"/>
      </w:pPr>
      <w:r>
        <w:t>The ESFA undertook a consultation on subcontracting reforms in February 2020. As part of that consultation, one of the proposals for reforming the future arrangements for subcontracting of ESFA funded post 16 education and training was that ESFA would develop an externally assured subcontracting standard to replace the audit certification process which is currently/was previously required.</w:t>
      </w:r>
    </w:p>
    <w:p w14:paraId="0AEA5FAE" w14:textId="77777777" w:rsidR="006941EE" w:rsidRDefault="006941EE" w:rsidP="006941EE">
      <w:pPr>
        <w:pStyle w:val="BodyText"/>
        <w:spacing w:before="10"/>
        <w:rPr>
          <w:sz w:val="20"/>
        </w:rPr>
      </w:pPr>
    </w:p>
    <w:p w14:paraId="5C6541E5" w14:textId="77777777" w:rsidR="006941EE" w:rsidRDefault="006941EE" w:rsidP="006941EE">
      <w:pPr>
        <w:pStyle w:val="BodyText"/>
        <w:ind w:left="112" w:right="312"/>
      </w:pPr>
      <w:r>
        <w:t>The results of the consultation identified that this proposal would be welcomed, and the intention therefore is that this standard will be introduced from funding year 2022 to 2023 and will effectively act as a license to subcontract.</w:t>
      </w:r>
    </w:p>
    <w:p w14:paraId="339DC40F" w14:textId="77777777" w:rsidR="006941EE" w:rsidRDefault="006941EE" w:rsidP="006941EE">
      <w:pPr>
        <w:pStyle w:val="BodyText"/>
        <w:spacing w:before="10"/>
        <w:rPr>
          <w:sz w:val="20"/>
        </w:rPr>
      </w:pPr>
    </w:p>
    <w:p w14:paraId="4677536F" w14:textId="77777777" w:rsidR="006941EE" w:rsidRDefault="006941EE" w:rsidP="006941EE">
      <w:pPr>
        <w:pStyle w:val="BodyText"/>
        <w:spacing w:line="288" w:lineRule="auto"/>
        <w:ind w:left="112" w:right="285"/>
      </w:pPr>
      <w:r>
        <w:rPr>
          <w:color w:val="0D0D0D"/>
        </w:rPr>
        <w:t xml:space="preserve">The standard is separate from, and different in purpose, to </w:t>
      </w:r>
      <w:proofErr w:type="spellStart"/>
      <w:r>
        <w:rPr>
          <w:color w:val="0D0D0D"/>
        </w:rPr>
        <w:t>Ofsted’s</w:t>
      </w:r>
      <w:proofErr w:type="spellEnd"/>
      <w:r>
        <w:rPr>
          <w:color w:val="0D0D0D"/>
        </w:rPr>
        <w:t xml:space="preserve"> Education Inspection Framework. It does not replace or overlap with </w:t>
      </w:r>
      <w:proofErr w:type="spellStart"/>
      <w:r>
        <w:rPr>
          <w:color w:val="0D0D0D"/>
        </w:rPr>
        <w:t>Ofsted’s</w:t>
      </w:r>
      <w:proofErr w:type="spellEnd"/>
      <w:r>
        <w:rPr>
          <w:color w:val="0D0D0D"/>
        </w:rPr>
        <w:t xml:space="preserve"> remit. The subcontracting standard is about oversight and management of public funds and ensuring that these are used to best effect, to maximise the value of those funds to benefit the learner.</w:t>
      </w:r>
    </w:p>
    <w:p w14:paraId="6AC896F3" w14:textId="77777777" w:rsidR="006941EE" w:rsidRDefault="006941EE" w:rsidP="006941EE">
      <w:pPr>
        <w:pStyle w:val="BodyText"/>
        <w:spacing w:before="11"/>
        <w:rPr>
          <w:sz w:val="20"/>
        </w:rPr>
      </w:pPr>
    </w:p>
    <w:p w14:paraId="2C53C903" w14:textId="77777777" w:rsidR="006941EE" w:rsidRDefault="006941EE" w:rsidP="006941EE">
      <w:pPr>
        <w:pStyle w:val="BodyText"/>
        <w:spacing w:line="288" w:lineRule="auto"/>
        <w:ind w:left="112" w:right="739"/>
      </w:pPr>
      <w:r>
        <w:rPr>
          <w:color w:val="0D0D0D"/>
        </w:rPr>
        <w:t xml:space="preserve">This </w:t>
      </w:r>
      <w:r>
        <w:t xml:space="preserve">new framework will ensure that there is a clear and consistent approach for the (contract) management of subcontractors by lead providers and that </w:t>
      </w:r>
      <w:r>
        <w:rPr>
          <w:color w:val="0D0D0D"/>
        </w:rPr>
        <w:t>there are robust assurance review arrangements.</w:t>
      </w:r>
    </w:p>
    <w:p w14:paraId="25533EC0" w14:textId="77777777" w:rsidR="006941EE" w:rsidRDefault="006941EE" w:rsidP="006941EE">
      <w:pPr>
        <w:pStyle w:val="BodyText"/>
        <w:spacing w:before="10"/>
        <w:rPr>
          <w:sz w:val="20"/>
        </w:rPr>
      </w:pPr>
    </w:p>
    <w:p w14:paraId="059B0A3E" w14:textId="77777777" w:rsidR="006941EE" w:rsidRDefault="006941EE" w:rsidP="006941EE">
      <w:pPr>
        <w:pStyle w:val="BodyText"/>
        <w:ind w:left="112"/>
      </w:pPr>
      <w:r>
        <w:rPr>
          <w:color w:val="0D0D0D"/>
        </w:rPr>
        <w:t>It will assist in mitigating the risk of:</w:t>
      </w:r>
    </w:p>
    <w:p w14:paraId="27E4B2BC" w14:textId="77777777" w:rsidR="006941EE" w:rsidRDefault="006941EE" w:rsidP="006941EE">
      <w:pPr>
        <w:pStyle w:val="BodyText"/>
        <w:spacing w:before="8"/>
        <w:rPr>
          <w:sz w:val="25"/>
        </w:rPr>
      </w:pPr>
    </w:p>
    <w:p w14:paraId="0BA99158" w14:textId="77777777" w:rsidR="006941EE" w:rsidRDefault="006941EE" w:rsidP="006941EE">
      <w:pPr>
        <w:pStyle w:val="ListParagraph"/>
        <w:widowControl w:val="0"/>
        <w:numPr>
          <w:ilvl w:val="1"/>
          <w:numId w:val="20"/>
        </w:numPr>
        <w:tabs>
          <w:tab w:val="left" w:pos="900"/>
          <w:tab w:val="left" w:pos="901"/>
        </w:tabs>
        <w:autoSpaceDE w:val="0"/>
        <w:autoSpaceDN w:val="0"/>
        <w:spacing w:before="1" w:after="0" w:line="240" w:lineRule="auto"/>
        <w:ind w:hanging="361"/>
        <w:contextualSpacing w:val="0"/>
        <w:rPr>
          <w:sz w:val="24"/>
        </w:rPr>
      </w:pPr>
      <w:r>
        <w:rPr>
          <w:sz w:val="24"/>
        </w:rPr>
        <w:t>inadequate (contract) management of</w:t>
      </w:r>
      <w:r>
        <w:rPr>
          <w:spacing w:val="-5"/>
          <w:sz w:val="24"/>
        </w:rPr>
        <w:t xml:space="preserve"> </w:t>
      </w:r>
      <w:r>
        <w:rPr>
          <w:sz w:val="24"/>
        </w:rPr>
        <w:t>subcontractors</w:t>
      </w:r>
    </w:p>
    <w:p w14:paraId="0339958B" w14:textId="77777777" w:rsidR="006941EE" w:rsidRDefault="006941EE" w:rsidP="006941EE">
      <w:pPr>
        <w:pStyle w:val="ListParagraph"/>
        <w:widowControl w:val="0"/>
        <w:numPr>
          <w:ilvl w:val="1"/>
          <w:numId w:val="20"/>
        </w:numPr>
        <w:tabs>
          <w:tab w:val="left" w:pos="900"/>
          <w:tab w:val="left" w:pos="901"/>
        </w:tabs>
        <w:autoSpaceDE w:val="0"/>
        <w:autoSpaceDN w:val="0"/>
        <w:spacing w:before="238" w:after="0" w:line="240" w:lineRule="auto"/>
        <w:ind w:hanging="361"/>
        <w:contextualSpacing w:val="0"/>
        <w:rPr>
          <w:sz w:val="24"/>
        </w:rPr>
      </w:pPr>
      <w:r>
        <w:rPr>
          <w:sz w:val="24"/>
        </w:rPr>
        <w:t>non-compliance with ESFA funding rules by subcontractors;</w:t>
      </w:r>
      <w:r>
        <w:rPr>
          <w:spacing w:val="-11"/>
          <w:sz w:val="24"/>
        </w:rPr>
        <w:t xml:space="preserve"> </w:t>
      </w:r>
      <w:r>
        <w:rPr>
          <w:sz w:val="24"/>
        </w:rPr>
        <w:t>and</w:t>
      </w:r>
    </w:p>
    <w:p w14:paraId="532AAE4A" w14:textId="77777777" w:rsidR="006941EE" w:rsidRDefault="006941EE" w:rsidP="006941EE">
      <w:pPr>
        <w:pStyle w:val="ListParagraph"/>
        <w:widowControl w:val="0"/>
        <w:numPr>
          <w:ilvl w:val="1"/>
          <w:numId w:val="20"/>
        </w:numPr>
        <w:tabs>
          <w:tab w:val="left" w:pos="900"/>
          <w:tab w:val="left" w:pos="901"/>
        </w:tabs>
        <w:autoSpaceDE w:val="0"/>
        <w:autoSpaceDN w:val="0"/>
        <w:spacing w:before="237" w:after="0" w:line="240" w:lineRule="auto"/>
        <w:ind w:hanging="361"/>
        <w:contextualSpacing w:val="0"/>
        <w:rPr>
          <w:sz w:val="24"/>
        </w:rPr>
      </w:pPr>
      <w:r>
        <w:rPr>
          <w:sz w:val="24"/>
        </w:rPr>
        <w:t>fraudulent and incorrect funding</w:t>
      </w:r>
      <w:r>
        <w:rPr>
          <w:spacing w:val="-4"/>
          <w:sz w:val="24"/>
        </w:rPr>
        <w:t xml:space="preserve"> </w:t>
      </w:r>
      <w:r>
        <w:rPr>
          <w:sz w:val="24"/>
        </w:rPr>
        <w:t>claims</w:t>
      </w:r>
    </w:p>
    <w:p w14:paraId="276D40F3" w14:textId="77777777" w:rsidR="006941EE" w:rsidRDefault="006941EE" w:rsidP="006941EE">
      <w:pPr>
        <w:pStyle w:val="BodyText"/>
        <w:spacing w:before="238"/>
        <w:ind w:left="112" w:right="499"/>
      </w:pPr>
      <w:r>
        <w:t>This document sets out the requirements for all providers who subcontract £100,000 or more of their delivery, across all ESFA funding streams.</w:t>
      </w:r>
    </w:p>
    <w:p w14:paraId="2561829F" w14:textId="77777777" w:rsidR="006941EE" w:rsidRDefault="006941EE" w:rsidP="006941EE">
      <w:pPr>
        <w:sectPr w:rsidR="006941EE" w:rsidSect="00A7608E">
          <w:pgSz w:w="11910" w:h="16840"/>
          <w:pgMar w:top="1040" w:right="1040" w:bottom="960" w:left="1020" w:header="0" w:footer="776" w:gutter="0"/>
          <w:cols w:space="720"/>
        </w:sectPr>
      </w:pPr>
    </w:p>
    <w:p w14:paraId="28DCC729" w14:textId="77777777" w:rsidR="006941EE" w:rsidRDefault="006941EE" w:rsidP="006941EE">
      <w:pPr>
        <w:pStyle w:val="Heading1"/>
        <w:ind w:left="112"/>
      </w:pPr>
      <w:bookmarkStart w:id="1" w:name="_TOC_250013"/>
      <w:bookmarkEnd w:id="1"/>
      <w:r>
        <w:rPr>
          <w:color w:val="0F4F75"/>
        </w:rPr>
        <w:lastRenderedPageBreak/>
        <w:t>Definitions</w:t>
      </w:r>
    </w:p>
    <w:p w14:paraId="38D1289E" w14:textId="77777777" w:rsidR="006941EE" w:rsidRDefault="006941EE" w:rsidP="006941EE">
      <w:pPr>
        <w:pStyle w:val="Heading2"/>
        <w:spacing w:before="241"/>
      </w:pPr>
      <w:r>
        <w:rPr>
          <w:color w:val="0A0C0C"/>
        </w:rPr>
        <w:t>Lead provider</w:t>
      </w:r>
    </w:p>
    <w:p w14:paraId="4B0FFC21" w14:textId="77777777" w:rsidR="006941EE" w:rsidRDefault="006941EE" w:rsidP="006941EE">
      <w:pPr>
        <w:pStyle w:val="BodyText"/>
        <w:spacing w:before="1"/>
        <w:rPr>
          <w:b/>
          <w:sz w:val="26"/>
        </w:rPr>
      </w:pPr>
    </w:p>
    <w:p w14:paraId="3F4869CF" w14:textId="77777777" w:rsidR="006941EE" w:rsidRDefault="006941EE" w:rsidP="006941EE">
      <w:pPr>
        <w:pStyle w:val="BodyText"/>
        <w:ind w:left="112" w:right="1433"/>
      </w:pPr>
      <w:r>
        <w:rPr>
          <w:color w:val="0A0C0C"/>
        </w:rPr>
        <w:t>A lead provider is a college, training organisation or employer that has a direct contractual relationship with ESFA.</w:t>
      </w:r>
    </w:p>
    <w:p w14:paraId="581012A6" w14:textId="77777777" w:rsidR="006941EE" w:rsidRDefault="006941EE" w:rsidP="006941EE">
      <w:pPr>
        <w:pStyle w:val="BodyText"/>
        <w:spacing w:before="1"/>
        <w:rPr>
          <w:sz w:val="26"/>
        </w:rPr>
      </w:pPr>
    </w:p>
    <w:p w14:paraId="7BA84C15" w14:textId="77777777" w:rsidR="006941EE" w:rsidRDefault="006941EE" w:rsidP="006941EE">
      <w:pPr>
        <w:pStyle w:val="Heading2"/>
      </w:pPr>
      <w:r>
        <w:rPr>
          <w:color w:val="0A0C0C"/>
        </w:rPr>
        <w:t>Subcontractor</w:t>
      </w:r>
    </w:p>
    <w:p w14:paraId="027BC369" w14:textId="77777777" w:rsidR="006941EE" w:rsidRDefault="006941EE" w:rsidP="006941EE">
      <w:pPr>
        <w:pStyle w:val="BodyText"/>
        <w:spacing w:before="1"/>
        <w:rPr>
          <w:b/>
          <w:sz w:val="26"/>
        </w:rPr>
      </w:pPr>
    </w:p>
    <w:p w14:paraId="61043755" w14:textId="77777777" w:rsidR="006941EE" w:rsidRDefault="006941EE" w:rsidP="006941EE">
      <w:pPr>
        <w:pStyle w:val="BodyText"/>
        <w:ind w:left="112" w:right="259"/>
      </w:pPr>
      <w:r>
        <w:rPr>
          <w:color w:val="0A0C0C"/>
        </w:rPr>
        <w:t>A subcontractor is a separate legal entity or an individual that has an agreement (called a subcontract) with you to deliver any element of the education and training we fund.</w:t>
      </w:r>
    </w:p>
    <w:p w14:paraId="79CBADD1" w14:textId="77777777" w:rsidR="006941EE" w:rsidRDefault="006941EE" w:rsidP="006941EE">
      <w:pPr>
        <w:pStyle w:val="BodyText"/>
        <w:spacing w:before="1"/>
        <w:rPr>
          <w:sz w:val="26"/>
        </w:rPr>
      </w:pPr>
    </w:p>
    <w:p w14:paraId="15D81806" w14:textId="77777777" w:rsidR="006941EE" w:rsidRDefault="006941EE" w:rsidP="006941EE">
      <w:pPr>
        <w:pStyle w:val="BodyText"/>
        <w:ind w:left="112" w:right="512"/>
      </w:pPr>
      <w:r>
        <w:rPr>
          <w:color w:val="0A0C0C"/>
        </w:rPr>
        <w:t>A separate legal entity includes companies in your group, other associated companies, and sole traders. An individual could include a person who is a sole trader, self- employed, or employed by an agency unless those individuals are working under your direct management and control in the same way as your own employees.</w:t>
      </w:r>
    </w:p>
    <w:p w14:paraId="1E1E63A4" w14:textId="77777777" w:rsidR="006941EE" w:rsidRDefault="006941EE" w:rsidP="006941EE">
      <w:pPr>
        <w:pStyle w:val="BodyText"/>
        <w:spacing w:before="2"/>
        <w:rPr>
          <w:sz w:val="26"/>
        </w:rPr>
      </w:pPr>
    </w:p>
    <w:p w14:paraId="0EE14CAB" w14:textId="77777777" w:rsidR="006941EE" w:rsidRDefault="006941EE" w:rsidP="006941EE">
      <w:pPr>
        <w:pStyle w:val="BodyText"/>
        <w:ind w:left="112" w:right="1086"/>
      </w:pPr>
      <w:r>
        <w:rPr>
          <w:color w:val="0A0C0C"/>
        </w:rPr>
        <w:t xml:space="preserve">Each lead provider and subcontractor must have a valid </w:t>
      </w:r>
      <w:r>
        <w:rPr>
          <w:color w:val="1D6FB8"/>
          <w:u w:val="single" w:color="1D6FB8"/>
        </w:rPr>
        <w:t>UK Provider Registration</w:t>
      </w:r>
      <w:r>
        <w:rPr>
          <w:color w:val="1D6FB8"/>
        </w:rPr>
        <w:t xml:space="preserve"> </w:t>
      </w:r>
      <w:r>
        <w:rPr>
          <w:color w:val="1D6FB8"/>
          <w:u w:val="single" w:color="1D6FB8"/>
        </w:rPr>
        <w:t>Number (UKPRN)</w:t>
      </w:r>
      <w:r>
        <w:rPr>
          <w:color w:val="0A0C0C"/>
        </w:rPr>
        <w:t>.</w:t>
      </w:r>
    </w:p>
    <w:p w14:paraId="7446F789" w14:textId="77777777" w:rsidR="006941EE" w:rsidRDefault="006941EE" w:rsidP="006941EE">
      <w:pPr>
        <w:pStyle w:val="BodyText"/>
        <w:rPr>
          <w:sz w:val="16"/>
        </w:rPr>
      </w:pPr>
    </w:p>
    <w:p w14:paraId="6193448B" w14:textId="77777777" w:rsidR="006941EE" w:rsidRDefault="006941EE" w:rsidP="006941EE">
      <w:pPr>
        <w:pStyle w:val="Heading2"/>
        <w:spacing w:before="92"/>
      </w:pPr>
      <w:r>
        <w:rPr>
          <w:color w:val="0A0C0C"/>
        </w:rPr>
        <w:t>External auditor</w:t>
      </w:r>
    </w:p>
    <w:p w14:paraId="69B97969" w14:textId="77777777" w:rsidR="006941EE" w:rsidRDefault="006941EE" w:rsidP="006941EE">
      <w:pPr>
        <w:pStyle w:val="BodyText"/>
        <w:spacing w:before="1"/>
        <w:rPr>
          <w:b/>
          <w:sz w:val="26"/>
        </w:rPr>
      </w:pPr>
    </w:p>
    <w:p w14:paraId="0B73A716" w14:textId="77777777" w:rsidR="006941EE" w:rsidRDefault="006941EE" w:rsidP="006941EE">
      <w:pPr>
        <w:pStyle w:val="BodyText"/>
        <w:ind w:left="112" w:right="245"/>
      </w:pPr>
      <w:r>
        <w:rPr>
          <w:color w:val="0A0C0C"/>
        </w:rPr>
        <w:t>An external auditor is a professionally qualified person from an organisation external to the provider that is able to provide an independent report on their subcontracting systems and controls. The person should be registered with an appropriate professional body.</w:t>
      </w:r>
    </w:p>
    <w:p w14:paraId="6EDDA6B8" w14:textId="77777777" w:rsidR="006941EE" w:rsidRDefault="006941EE" w:rsidP="006941EE">
      <w:pPr>
        <w:pStyle w:val="BodyText"/>
        <w:spacing w:before="2"/>
        <w:rPr>
          <w:sz w:val="26"/>
        </w:rPr>
      </w:pPr>
    </w:p>
    <w:p w14:paraId="4851D5BB" w14:textId="77777777" w:rsidR="006941EE" w:rsidRDefault="006941EE" w:rsidP="006941EE">
      <w:pPr>
        <w:pStyle w:val="BodyText"/>
        <w:ind w:left="112" w:right="340"/>
      </w:pPr>
      <w:r>
        <w:rPr>
          <w:color w:val="0A0C0C"/>
        </w:rPr>
        <w:t>For the sake of clarity, the external auditor cannot be an employee, director, trustee, shareholder or any other similar party with a vested interest in the provider, irrespective of whether their normal role is to carry out their audit work. The external auditor does not necessarily have to be a provider’s existing external auditor.</w:t>
      </w:r>
    </w:p>
    <w:p w14:paraId="06814E90" w14:textId="77777777" w:rsidR="006941EE" w:rsidRDefault="006941EE" w:rsidP="006941EE">
      <w:pPr>
        <w:sectPr w:rsidR="006941EE" w:rsidSect="00A7608E">
          <w:pgSz w:w="11910" w:h="16840"/>
          <w:pgMar w:top="1040" w:right="1040" w:bottom="960" w:left="1020" w:header="0" w:footer="776" w:gutter="0"/>
          <w:cols w:space="720"/>
        </w:sectPr>
      </w:pPr>
    </w:p>
    <w:p w14:paraId="29AFA5CF" w14:textId="77777777" w:rsidR="006941EE" w:rsidRDefault="006941EE" w:rsidP="006941EE">
      <w:pPr>
        <w:pStyle w:val="Heading1"/>
        <w:ind w:left="112"/>
      </w:pPr>
      <w:bookmarkStart w:id="2" w:name="_TOC_250012"/>
      <w:bookmarkEnd w:id="2"/>
      <w:r>
        <w:rPr>
          <w:color w:val="0F4F75"/>
        </w:rPr>
        <w:lastRenderedPageBreak/>
        <w:t>Transitional arrangements</w:t>
      </w:r>
    </w:p>
    <w:p w14:paraId="5278B237" w14:textId="77777777" w:rsidR="006941EE" w:rsidRDefault="006941EE" w:rsidP="006941EE">
      <w:pPr>
        <w:pStyle w:val="BodyText"/>
        <w:spacing w:before="241"/>
        <w:ind w:left="112" w:right="285"/>
      </w:pPr>
      <w:r>
        <w:t xml:space="preserve">We </w:t>
      </w:r>
      <w:proofErr w:type="spellStart"/>
      <w:r>
        <w:t>recognise</w:t>
      </w:r>
      <w:proofErr w:type="spellEnd"/>
      <w:r>
        <w:t xml:space="preserve"> that providers will need time to ensure that the elements of the standard are achievable, and we set out a timetable in our published further information document in March </w:t>
      </w:r>
      <w:r w:rsidR="00CD06D2">
        <w:t>2022</w:t>
      </w:r>
      <w:r>
        <w:t>.</w:t>
      </w:r>
    </w:p>
    <w:p w14:paraId="7B59D4C6" w14:textId="77777777" w:rsidR="006941EE" w:rsidRDefault="006941EE" w:rsidP="006941EE">
      <w:pPr>
        <w:pStyle w:val="BodyText"/>
        <w:spacing w:before="10"/>
        <w:rPr>
          <w:sz w:val="20"/>
        </w:rPr>
      </w:pPr>
    </w:p>
    <w:p w14:paraId="4044A63E" w14:textId="77777777" w:rsidR="006941EE" w:rsidRDefault="006941EE" w:rsidP="006941EE">
      <w:pPr>
        <w:pStyle w:val="BodyText"/>
        <w:ind w:left="112" w:right="258"/>
      </w:pPr>
      <w:r>
        <w:t>The timetable, in table 1, sets out our clear expectation that providers will be required to continue with the current assurance arrangements in the first year the standard is published. We expect that providers will take this first year to ensure they are aligning their subcontracting delivery to the standard, where it does not already, and ensuring that they have appropriate evidence in place to ensure that they can demonstrate compliance with the standard.</w:t>
      </w:r>
    </w:p>
    <w:p w14:paraId="24AA6B2C" w14:textId="77777777" w:rsidR="006941EE" w:rsidRDefault="006941EE" w:rsidP="006941EE">
      <w:pPr>
        <w:pStyle w:val="BodyText"/>
        <w:spacing w:before="10"/>
        <w:rPr>
          <w:sz w:val="20"/>
        </w:rPr>
      </w:pPr>
    </w:p>
    <w:p w14:paraId="38DE37DF" w14:textId="77777777" w:rsidR="006941EE" w:rsidRDefault="006941EE" w:rsidP="006941EE">
      <w:pPr>
        <w:pStyle w:val="BodyText"/>
        <w:ind w:left="112"/>
      </w:pPr>
      <w:r>
        <w:t>Table 1: Timeline to transition to the subcontracting standard:</w:t>
      </w:r>
    </w:p>
    <w:p w14:paraId="40124B64" w14:textId="77777777" w:rsidR="006941EE" w:rsidRDefault="006941EE" w:rsidP="006941EE">
      <w:pPr>
        <w:pStyle w:val="BodyText"/>
        <w:spacing w:before="10" w:after="1"/>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
        <w:gridCol w:w="4360"/>
        <w:gridCol w:w="3508"/>
      </w:tblGrid>
      <w:tr w:rsidR="006941EE" w14:paraId="1BECB481" w14:textId="77777777" w:rsidTr="00CD06D2">
        <w:trPr>
          <w:trHeight w:val="791"/>
        </w:trPr>
        <w:tc>
          <w:tcPr>
            <w:tcW w:w="939" w:type="dxa"/>
            <w:shd w:val="clear" w:color="auto" w:fill="BEBEBE"/>
          </w:tcPr>
          <w:p w14:paraId="18E30BF4" w14:textId="77777777" w:rsidR="006941EE" w:rsidRDefault="006941EE" w:rsidP="00CD06D2">
            <w:pPr>
              <w:pStyle w:val="TableParagraph"/>
              <w:spacing w:before="0" w:line="288" w:lineRule="auto"/>
              <w:rPr>
                <w:sz w:val="20"/>
              </w:rPr>
            </w:pPr>
            <w:r>
              <w:rPr>
                <w:color w:val="0D0D0D"/>
                <w:w w:val="95"/>
                <w:sz w:val="20"/>
              </w:rPr>
              <w:t xml:space="preserve">Funding </w:t>
            </w:r>
            <w:r>
              <w:rPr>
                <w:color w:val="0D0D0D"/>
                <w:sz w:val="20"/>
              </w:rPr>
              <w:t>Year</w:t>
            </w:r>
          </w:p>
        </w:tc>
        <w:tc>
          <w:tcPr>
            <w:tcW w:w="4360" w:type="dxa"/>
            <w:shd w:val="clear" w:color="auto" w:fill="BEBEBE"/>
          </w:tcPr>
          <w:p w14:paraId="594E5433" w14:textId="77777777" w:rsidR="006941EE" w:rsidRDefault="006941EE" w:rsidP="00CD06D2">
            <w:pPr>
              <w:pStyle w:val="TableParagraph"/>
              <w:spacing w:before="0" w:line="229" w:lineRule="exact"/>
              <w:rPr>
                <w:sz w:val="20"/>
              </w:rPr>
            </w:pPr>
            <w:r>
              <w:rPr>
                <w:color w:val="0D0D0D"/>
                <w:sz w:val="20"/>
              </w:rPr>
              <w:t>Current Requirement – External Audit Report</w:t>
            </w:r>
          </w:p>
        </w:tc>
        <w:tc>
          <w:tcPr>
            <w:tcW w:w="3508" w:type="dxa"/>
            <w:shd w:val="clear" w:color="auto" w:fill="BEBEBE"/>
          </w:tcPr>
          <w:p w14:paraId="2D010A16" w14:textId="77777777" w:rsidR="006941EE" w:rsidRDefault="006941EE" w:rsidP="00CD06D2">
            <w:pPr>
              <w:pStyle w:val="TableParagraph"/>
              <w:spacing w:before="0" w:line="229" w:lineRule="exact"/>
              <w:ind w:left="106"/>
              <w:rPr>
                <w:sz w:val="20"/>
              </w:rPr>
            </w:pPr>
            <w:r>
              <w:rPr>
                <w:color w:val="0D0D0D"/>
                <w:sz w:val="20"/>
              </w:rPr>
              <w:t>Externally Assured Standard</w:t>
            </w:r>
          </w:p>
        </w:tc>
      </w:tr>
      <w:tr w:rsidR="006941EE" w14:paraId="21555DB4" w14:textId="77777777" w:rsidTr="00CD06D2">
        <w:trPr>
          <w:trHeight w:val="3239"/>
        </w:trPr>
        <w:tc>
          <w:tcPr>
            <w:tcW w:w="939" w:type="dxa"/>
          </w:tcPr>
          <w:p w14:paraId="62D5696A" w14:textId="77777777" w:rsidR="006941EE" w:rsidRDefault="006941EE" w:rsidP="00CD06D2">
            <w:pPr>
              <w:pStyle w:val="TableParagraph"/>
              <w:spacing w:before="0" w:line="229" w:lineRule="exact"/>
              <w:rPr>
                <w:sz w:val="20"/>
              </w:rPr>
            </w:pPr>
            <w:r>
              <w:rPr>
                <w:color w:val="0D0D0D"/>
                <w:sz w:val="20"/>
              </w:rPr>
              <w:t>2019 to</w:t>
            </w:r>
          </w:p>
          <w:p w14:paraId="3039FC53" w14:textId="77777777" w:rsidR="006941EE" w:rsidRDefault="006941EE" w:rsidP="00CD06D2">
            <w:pPr>
              <w:pStyle w:val="TableParagraph"/>
              <w:spacing w:before="46"/>
              <w:rPr>
                <w:sz w:val="20"/>
              </w:rPr>
            </w:pPr>
            <w:r>
              <w:rPr>
                <w:color w:val="0D0D0D"/>
                <w:sz w:val="20"/>
              </w:rPr>
              <w:t>2020</w:t>
            </w:r>
          </w:p>
        </w:tc>
        <w:tc>
          <w:tcPr>
            <w:tcW w:w="4360" w:type="dxa"/>
          </w:tcPr>
          <w:p w14:paraId="3B91B672" w14:textId="77777777" w:rsidR="006941EE" w:rsidRDefault="006941EE" w:rsidP="00CD06D2">
            <w:pPr>
              <w:pStyle w:val="TableParagraph"/>
              <w:spacing w:before="0" w:line="288" w:lineRule="auto"/>
              <w:ind w:right="362"/>
              <w:rPr>
                <w:sz w:val="20"/>
              </w:rPr>
            </w:pPr>
            <w:r>
              <w:rPr>
                <w:color w:val="0D0D0D"/>
                <w:sz w:val="20"/>
              </w:rPr>
              <w:t>ESFA require a copy of the report by 30/09/2020 if:</w:t>
            </w:r>
          </w:p>
          <w:p w14:paraId="60111964" w14:textId="77777777" w:rsidR="006941EE" w:rsidRDefault="006941EE" w:rsidP="00CD06D2">
            <w:pPr>
              <w:pStyle w:val="TableParagraph"/>
              <w:spacing w:before="9"/>
              <w:ind w:left="0"/>
              <w:rPr>
                <w:sz w:val="20"/>
              </w:rPr>
            </w:pPr>
          </w:p>
          <w:p w14:paraId="0B07F356" w14:textId="77777777" w:rsidR="006941EE" w:rsidRDefault="006941EE" w:rsidP="006941EE">
            <w:pPr>
              <w:pStyle w:val="TableParagraph"/>
              <w:numPr>
                <w:ilvl w:val="0"/>
                <w:numId w:val="19"/>
              </w:numPr>
              <w:tabs>
                <w:tab w:val="left" w:pos="829"/>
                <w:tab w:val="left" w:pos="830"/>
              </w:tabs>
              <w:spacing w:before="0"/>
              <w:ind w:right="886"/>
              <w:rPr>
                <w:sz w:val="20"/>
              </w:rPr>
            </w:pPr>
            <w:r>
              <w:rPr>
                <w:color w:val="0D0D0D"/>
                <w:sz w:val="20"/>
              </w:rPr>
              <w:t>Subcontract £100k or more</w:t>
            </w:r>
            <w:r>
              <w:rPr>
                <w:color w:val="0D0D0D"/>
                <w:spacing w:val="-18"/>
                <w:sz w:val="20"/>
              </w:rPr>
              <w:t xml:space="preserve"> </w:t>
            </w:r>
            <w:r>
              <w:rPr>
                <w:color w:val="0D0D0D"/>
                <w:sz w:val="20"/>
              </w:rPr>
              <w:t>of apprenticeship</w:t>
            </w:r>
            <w:r>
              <w:rPr>
                <w:color w:val="0D0D0D"/>
                <w:spacing w:val="-3"/>
                <w:sz w:val="20"/>
              </w:rPr>
              <w:t xml:space="preserve"> </w:t>
            </w:r>
            <w:r>
              <w:rPr>
                <w:color w:val="0D0D0D"/>
                <w:sz w:val="20"/>
              </w:rPr>
              <w:t>funding</w:t>
            </w:r>
          </w:p>
          <w:p w14:paraId="4B0EF432" w14:textId="77777777" w:rsidR="006941EE" w:rsidRDefault="006941EE" w:rsidP="006941EE">
            <w:pPr>
              <w:pStyle w:val="TableParagraph"/>
              <w:numPr>
                <w:ilvl w:val="0"/>
                <w:numId w:val="19"/>
              </w:numPr>
              <w:tabs>
                <w:tab w:val="left" w:pos="829"/>
                <w:tab w:val="left" w:pos="830"/>
              </w:tabs>
              <w:spacing w:line="229" w:lineRule="exact"/>
              <w:rPr>
                <w:sz w:val="20"/>
              </w:rPr>
            </w:pPr>
            <w:r>
              <w:rPr>
                <w:color w:val="0D0D0D"/>
                <w:sz w:val="20"/>
              </w:rPr>
              <w:t>And/or</w:t>
            </w:r>
          </w:p>
          <w:p w14:paraId="17BB06B8" w14:textId="77777777" w:rsidR="006941EE" w:rsidRDefault="006941EE" w:rsidP="006941EE">
            <w:pPr>
              <w:pStyle w:val="TableParagraph"/>
              <w:numPr>
                <w:ilvl w:val="0"/>
                <w:numId w:val="19"/>
              </w:numPr>
              <w:tabs>
                <w:tab w:val="left" w:pos="829"/>
                <w:tab w:val="left" w:pos="830"/>
              </w:tabs>
              <w:spacing w:before="0"/>
              <w:ind w:right="786"/>
              <w:rPr>
                <w:sz w:val="20"/>
              </w:rPr>
            </w:pPr>
            <w:r>
              <w:rPr>
                <w:color w:val="0D0D0D"/>
                <w:sz w:val="20"/>
              </w:rPr>
              <w:t>Subcontracts £100k or more</w:t>
            </w:r>
            <w:r>
              <w:rPr>
                <w:color w:val="0D0D0D"/>
                <w:spacing w:val="-17"/>
                <w:sz w:val="20"/>
              </w:rPr>
              <w:t xml:space="preserve"> </w:t>
            </w:r>
            <w:r>
              <w:rPr>
                <w:color w:val="0D0D0D"/>
                <w:sz w:val="20"/>
              </w:rPr>
              <w:t>of AEB/ESF</w:t>
            </w:r>
            <w:r>
              <w:rPr>
                <w:color w:val="0D0D0D"/>
                <w:spacing w:val="-1"/>
                <w:sz w:val="20"/>
              </w:rPr>
              <w:t xml:space="preserve"> </w:t>
            </w:r>
            <w:r>
              <w:rPr>
                <w:color w:val="0D0D0D"/>
                <w:sz w:val="20"/>
              </w:rPr>
              <w:t>funding</w:t>
            </w:r>
          </w:p>
          <w:p w14:paraId="7CFD918A" w14:textId="77777777" w:rsidR="006941EE" w:rsidRDefault="006941EE" w:rsidP="00CD06D2">
            <w:pPr>
              <w:pStyle w:val="TableParagraph"/>
              <w:spacing w:before="0"/>
              <w:ind w:left="0"/>
              <w:rPr>
                <w:sz w:val="20"/>
              </w:rPr>
            </w:pPr>
          </w:p>
          <w:p w14:paraId="26C54D07" w14:textId="77777777" w:rsidR="006941EE" w:rsidRDefault="006941EE" w:rsidP="00CD06D2">
            <w:pPr>
              <w:pStyle w:val="TableParagraph"/>
              <w:spacing w:before="0" w:line="288" w:lineRule="auto"/>
              <w:ind w:right="362"/>
              <w:rPr>
                <w:sz w:val="20"/>
              </w:rPr>
            </w:pPr>
            <w:r>
              <w:rPr>
                <w:color w:val="0D0D0D"/>
                <w:sz w:val="20"/>
              </w:rPr>
              <w:t>ESFA reserve the right to request copies of the report and associated action plan.</w:t>
            </w:r>
          </w:p>
          <w:p w14:paraId="7A28BC9D" w14:textId="77777777" w:rsidR="006941EE" w:rsidRDefault="006941EE" w:rsidP="00CD06D2">
            <w:pPr>
              <w:pStyle w:val="TableParagraph"/>
              <w:rPr>
                <w:sz w:val="20"/>
              </w:rPr>
            </w:pPr>
            <w:r>
              <w:rPr>
                <w:color w:val="0D0D0D"/>
                <w:sz w:val="20"/>
              </w:rPr>
              <w:t>Currently chasing outstanding reports.</w:t>
            </w:r>
          </w:p>
        </w:tc>
        <w:tc>
          <w:tcPr>
            <w:tcW w:w="3508" w:type="dxa"/>
          </w:tcPr>
          <w:p w14:paraId="07D8C049" w14:textId="77777777" w:rsidR="006941EE" w:rsidRDefault="006941EE" w:rsidP="00CD06D2">
            <w:pPr>
              <w:pStyle w:val="TableParagraph"/>
              <w:spacing w:before="0" w:line="288" w:lineRule="auto"/>
              <w:ind w:left="106" w:right="99"/>
              <w:rPr>
                <w:sz w:val="20"/>
              </w:rPr>
            </w:pPr>
            <w:r>
              <w:rPr>
                <w:color w:val="0D0D0D"/>
                <w:sz w:val="20"/>
              </w:rPr>
              <w:t xml:space="preserve">In development, </w:t>
            </w:r>
            <w:proofErr w:type="spellStart"/>
            <w:r>
              <w:rPr>
                <w:color w:val="0D0D0D"/>
                <w:sz w:val="20"/>
              </w:rPr>
              <w:t>utilising</w:t>
            </w:r>
            <w:proofErr w:type="spellEnd"/>
            <w:r>
              <w:rPr>
                <w:color w:val="0D0D0D"/>
                <w:sz w:val="20"/>
              </w:rPr>
              <w:t xml:space="preserve"> intelligence from the external audit report contents and working with internal/ external stakeholders.</w:t>
            </w:r>
          </w:p>
        </w:tc>
      </w:tr>
      <w:tr w:rsidR="006941EE" w14:paraId="13719E8C" w14:textId="77777777" w:rsidTr="00CD06D2">
        <w:trPr>
          <w:trHeight w:val="2687"/>
        </w:trPr>
        <w:tc>
          <w:tcPr>
            <w:tcW w:w="939" w:type="dxa"/>
          </w:tcPr>
          <w:p w14:paraId="62F88A2C" w14:textId="77777777" w:rsidR="006941EE" w:rsidRDefault="006941EE" w:rsidP="00CD06D2">
            <w:pPr>
              <w:pStyle w:val="TableParagraph"/>
              <w:spacing w:before="0" w:line="229" w:lineRule="exact"/>
              <w:rPr>
                <w:sz w:val="20"/>
              </w:rPr>
            </w:pPr>
            <w:r>
              <w:rPr>
                <w:color w:val="0D0D0D"/>
                <w:sz w:val="20"/>
              </w:rPr>
              <w:t>2020 to</w:t>
            </w:r>
          </w:p>
          <w:p w14:paraId="73D99445" w14:textId="77777777" w:rsidR="006941EE" w:rsidRDefault="00CD06D2" w:rsidP="00CD06D2">
            <w:pPr>
              <w:pStyle w:val="TableParagraph"/>
              <w:spacing w:before="46"/>
              <w:rPr>
                <w:sz w:val="20"/>
              </w:rPr>
            </w:pPr>
            <w:r>
              <w:rPr>
                <w:color w:val="0D0D0D"/>
                <w:sz w:val="20"/>
              </w:rPr>
              <w:t>2022</w:t>
            </w:r>
          </w:p>
        </w:tc>
        <w:tc>
          <w:tcPr>
            <w:tcW w:w="4360" w:type="dxa"/>
          </w:tcPr>
          <w:p w14:paraId="7D1A168B" w14:textId="77777777" w:rsidR="006941EE" w:rsidRDefault="006941EE" w:rsidP="00CD06D2">
            <w:pPr>
              <w:pStyle w:val="TableParagraph"/>
              <w:spacing w:before="0" w:line="288" w:lineRule="auto"/>
              <w:ind w:right="362"/>
              <w:rPr>
                <w:b/>
                <w:sz w:val="20"/>
              </w:rPr>
            </w:pPr>
            <w:r>
              <w:rPr>
                <w:color w:val="0D0D0D"/>
                <w:sz w:val="20"/>
              </w:rPr>
              <w:t xml:space="preserve">Requirement for AEB, ESF and Apprenticeship provision to send certificate, report, and associated action plan to the agency by </w:t>
            </w:r>
            <w:r>
              <w:rPr>
                <w:b/>
                <w:color w:val="0D0D0D"/>
                <w:sz w:val="20"/>
              </w:rPr>
              <w:t xml:space="preserve">30 September </w:t>
            </w:r>
            <w:r w:rsidR="00CD06D2">
              <w:rPr>
                <w:b/>
                <w:color w:val="0D0D0D"/>
                <w:sz w:val="20"/>
              </w:rPr>
              <w:t>2022</w:t>
            </w:r>
            <w:r>
              <w:rPr>
                <w:b/>
                <w:color w:val="0D0D0D"/>
                <w:sz w:val="20"/>
              </w:rPr>
              <w:t>.</w:t>
            </w:r>
          </w:p>
          <w:p w14:paraId="6CDFDFE2" w14:textId="77777777" w:rsidR="006941EE" w:rsidRDefault="006941EE" w:rsidP="00CD06D2">
            <w:pPr>
              <w:pStyle w:val="TableParagraph"/>
              <w:spacing w:before="9"/>
              <w:ind w:left="0"/>
              <w:rPr>
                <w:sz w:val="20"/>
              </w:rPr>
            </w:pPr>
          </w:p>
          <w:p w14:paraId="639CD803" w14:textId="77777777" w:rsidR="006941EE" w:rsidRDefault="006941EE" w:rsidP="00CD06D2">
            <w:pPr>
              <w:pStyle w:val="TableParagraph"/>
              <w:spacing w:before="0" w:line="288" w:lineRule="auto"/>
              <w:rPr>
                <w:sz w:val="20"/>
              </w:rPr>
            </w:pPr>
            <w:r>
              <w:rPr>
                <w:color w:val="0D0D0D"/>
                <w:sz w:val="20"/>
              </w:rPr>
              <w:t>Guidance and funding rules updated to reflect that it will now be £100k or more across all 3 funding streams. Updated certificate to ensure ESFA has access to the correct information.</w:t>
            </w:r>
          </w:p>
        </w:tc>
        <w:tc>
          <w:tcPr>
            <w:tcW w:w="3508" w:type="dxa"/>
          </w:tcPr>
          <w:p w14:paraId="1317CF1F" w14:textId="77777777" w:rsidR="006941EE" w:rsidRDefault="006941EE" w:rsidP="00CD06D2">
            <w:pPr>
              <w:pStyle w:val="TableParagraph"/>
              <w:spacing w:before="0" w:line="288" w:lineRule="auto"/>
              <w:ind w:left="106" w:right="470"/>
              <w:rPr>
                <w:sz w:val="20"/>
              </w:rPr>
            </w:pPr>
            <w:r>
              <w:rPr>
                <w:color w:val="0D0D0D"/>
                <w:sz w:val="20"/>
              </w:rPr>
              <w:t xml:space="preserve">It is our intent to publish an initial draft by 31 July </w:t>
            </w:r>
            <w:r w:rsidR="00CD06D2">
              <w:rPr>
                <w:color w:val="0D0D0D"/>
                <w:sz w:val="20"/>
              </w:rPr>
              <w:t>2022</w:t>
            </w:r>
            <w:r>
              <w:rPr>
                <w:color w:val="0D0D0D"/>
                <w:sz w:val="20"/>
              </w:rPr>
              <w:t>.</w:t>
            </w:r>
          </w:p>
        </w:tc>
      </w:tr>
      <w:tr w:rsidR="006941EE" w14:paraId="33D2C6E2" w14:textId="77777777" w:rsidTr="00CD06D2">
        <w:trPr>
          <w:trHeight w:val="2448"/>
        </w:trPr>
        <w:tc>
          <w:tcPr>
            <w:tcW w:w="939" w:type="dxa"/>
          </w:tcPr>
          <w:p w14:paraId="08DC22E0" w14:textId="77777777" w:rsidR="006941EE" w:rsidRDefault="00CD06D2" w:rsidP="00CD06D2">
            <w:pPr>
              <w:pStyle w:val="TableParagraph"/>
              <w:spacing w:before="0" w:line="229" w:lineRule="exact"/>
              <w:rPr>
                <w:sz w:val="20"/>
              </w:rPr>
            </w:pPr>
            <w:r>
              <w:rPr>
                <w:color w:val="0D0D0D"/>
                <w:sz w:val="20"/>
              </w:rPr>
              <w:t>2022</w:t>
            </w:r>
            <w:r w:rsidR="006941EE">
              <w:rPr>
                <w:color w:val="0D0D0D"/>
                <w:sz w:val="20"/>
              </w:rPr>
              <w:t xml:space="preserve"> to</w:t>
            </w:r>
          </w:p>
          <w:p w14:paraId="00329FD4" w14:textId="77777777" w:rsidR="006941EE" w:rsidRDefault="006941EE" w:rsidP="00CD06D2">
            <w:pPr>
              <w:pStyle w:val="TableParagraph"/>
              <w:spacing w:before="46"/>
              <w:rPr>
                <w:sz w:val="20"/>
              </w:rPr>
            </w:pPr>
            <w:r>
              <w:rPr>
                <w:color w:val="0D0D0D"/>
                <w:sz w:val="20"/>
              </w:rPr>
              <w:t>2022</w:t>
            </w:r>
          </w:p>
        </w:tc>
        <w:tc>
          <w:tcPr>
            <w:tcW w:w="4360" w:type="dxa"/>
          </w:tcPr>
          <w:p w14:paraId="312A4130" w14:textId="77777777" w:rsidR="006941EE" w:rsidRDefault="006941EE" w:rsidP="00CD06D2">
            <w:pPr>
              <w:pStyle w:val="TableParagraph"/>
              <w:spacing w:before="0" w:line="288" w:lineRule="auto"/>
              <w:ind w:right="102"/>
              <w:rPr>
                <w:b/>
                <w:sz w:val="20"/>
              </w:rPr>
            </w:pPr>
            <w:r>
              <w:rPr>
                <w:color w:val="0D0D0D"/>
                <w:sz w:val="20"/>
              </w:rPr>
              <w:t xml:space="preserve">We will include this requirement in the 16 to 19 funding rules and the requirement will then become if you subcontract out £100k or more of apprenticeship, AEB, ESF or 16 to 19 funding (rather than looking at individual funding stream level) you must get an external audit report and certificate. These must be sent to the agency by </w:t>
            </w:r>
            <w:r>
              <w:rPr>
                <w:b/>
                <w:color w:val="0D0D0D"/>
                <w:sz w:val="20"/>
              </w:rPr>
              <w:t>31 July</w:t>
            </w:r>
            <w:r>
              <w:rPr>
                <w:b/>
                <w:color w:val="0D0D0D"/>
                <w:spacing w:val="-6"/>
                <w:sz w:val="20"/>
              </w:rPr>
              <w:t xml:space="preserve"> </w:t>
            </w:r>
            <w:r>
              <w:rPr>
                <w:b/>
                <w:color w:val="0D0D0D"/>
                <w:sz w:val="20"/>
              </w:rPr>
              <w:t>2022.</w:t>
            </w:r>
          </w:p>
        </w:tc>
        <w:tc>
          <w:tcPr>
            <w:tcW w:w="3508" w:type="dxa"/>
          </w:tcPr>
          <w:p w14:paraId="3D13989E" w14:textId="77777777" w:rsidR="006941EE" w:rsidRDefault="006941EE" w:rsidP="00CD06D2">
            <w:pPr>
              <w:pStyle w:val="TableParagraph"/>
              <w:spacing w:before="0" w:line="288" w:lineRule="auto"/>
              <w:ind w:left="106" w:right="99"/>
              <w:rPr>
                <w:sz w:val="20"/>
              </w:rPr>
            </w:pPr>
            <w:r>
              <w:rPr>
                <w:color w:val="0D0D0D"/>
                <w:sz w:val="20"/>
              </w:rPr>
              <w:t>The standard will be introduced, and we expect providers to start working toward this. It will not be subject to any external validation in this transitional year.</w:t>
            </w:r>
          </w:p>
        </w:tc>
      </w:tr>
      <w:tr w:rsidR="006941EE" w14:paraId="6D2234AC" w14:textId="77777777" w:rsidTr="00CD06D2">
        <w:trPr>
          <w:trHeight w:val="1069"/>
        </w:trPr>
        <w:tc>
          <w:tcPr>
            <w:tcW w:w="939" w:type="dxa"/>
          </w:tcPr>
          <w:p w14:paraId="38248BA4" w14:textId="77777777" w:rsidR="006941EE" w:rsidRDefault="006941EE" w:rsidP="00CD06D2">
            <w:pPr>
              <w:pStyle w:val="TableParagraph"/>
              <w:spacing w:before="0" w:line="229" w:lineRule="exact"/>
              <w:rPr>
                <w:sz w:val="20"/>
              </w:rPr>
            </w:pPr>
            <w:r>
              <w:rPr>
                <w:color w:val="0D0D0D"/>
                <w:sz w:val="20"/>
              </w:rPr>
              <w:t>2022 to</w:t>
            </w:r>
          </w:p>
          <w:p w14:paraId="6D0DED9D" w14:textId="77777777" w:rsidR="006941EE" w:rsidRDefault="006941EE" w:rsidP="00CD06D2">
            <w:pPr>
              <w:pStyle w:val="TableParagraph"/>
              <w:spacing w:before="46"/>
              <w:rPr>
                <w:sz w:val="20"/>
              </w:rPr>
            </w:pPr>
            <w:r>
              <w:rPr>
                <w:color w:val="0D0D0D"/>
                <w:sz w:val="20"/>
              </w:rPr>
              <w:t>2023</w:t>
            </w:r>
          </w:p>
        </w:tc>
        <w:tc>
          <w:tcPr>
            <w:tcW w:w="4360" w:type="dxa"/>
          </w:tcPr>
          <w:p w14:paraId="4A619479" w14:textId="77777777" w:rsidR="006941EE" w:rsidRDefault="006941EE" w:rsidP="00CD06D2">
            <w:pPr>
              <w:pStyle w:val="TableParagraph"/>
              <w:spacing w:before="0" w:line="288" w:lineRule="auto"/>
              <w:rPr>
                <w:sz w:val="20"/>
              </w:rPr>
            </w:pPr>
            <w:r>
              <w:rPr>
                <w:color w:val="0D0D0D"/>
                <w:sz w:val="20"/>
              </w:rPr>
              <w:t>This requirement will be replaced by the externally assessed standard.</w:t>
            </w:r>
          </w:p>
        </w:tc>
        <w:tc>
          <w:tcPr>
            <w:tcW w:w="3508" w:type="dxa"/>
          </w:tcPr>
          <w:p w14:paraId="1C89CA4A" w14:textId="77777777" w:rsidR="006941EE" w:rsidRDefault="006941EE" w:rsidP="00CD06D2">
            <w:pPr>
              <w:pStyle w:val="TableParagraph"/>
              <w:spacing w:before="0" w:line="288" w:lineRule="auto"/>
              <w:ind w:left="106" w:right="99"/>
              <w:rPr>
                <w:sz w:val="20"/>
              </w:rPr>
            </w:pPr>
            <w:r>
              <w:rPr>
                <w:color w:val="0D0D0D"/>
                <w:sz w:val="20"/>
              </w:rPr>
              <w:t>First year of being externally validated prior to ESFA accreditation of standard.</w:t>
            </w:r>
          </w:p>
        </w:tc>
      </w:tr>
    </w:tbl>
    <w:p w14:paraId="544BA8BD" w14:textId="77777777" w:rsidR="006941EE" w:rsidRDefault="006941EE" w:rsidP="006941EE">
      <w:pPr>
        <w:spacing w:line="288" w:lineRule="auto"/>
        <w:rPr>
          <w:sz w:val="20"/>
        </w:rPr>
        <w:sectPr w:rsidR="006941EE" w:rsidSect="00A7608E">
          <w:pgSz w:w="11910" w:h="16840"/>
          <w:pgMar w:top="1040" w:right="1040" w:bottom="960" w:left="1020" w:header="0" w:footer="776" w:gutter="0"/>
          <w:cols w:space="720"/>
        </w:sectPr>
      </w:pPr>
    </w:p>
    <w:p w14:paraId="7595370B" w14:textId="77777777" w:rsidR="006941EE" w:rsidRDefault="006941EE" w:rsidP="006941EE">
      <w:pPr>
        <w:pStyle w:val="BodyText"/>
        <w:spacing w:before="75" w:line="288" w:lineRule="auto"/>
        <w:ind w:left="112" w:right="352"/>
      </w:pPr>
      <w:r>
        <w:rPr>
          <w:color w:val="0D0D0D"/>
        </w:rPr>
        <w:lastRenderedPageBreak/>
        <w:t>The ESFA understands that a one-size fits all approach is inappropriate in relation to the application of the standard. The standard and auditor guidance are designed to be reasonable and proportionate.</w:t>
      </w:r>
    </w:p>
    <w:p w14:paraId="786D9FC6" w14:textId="77777777" w:rsidR="006941EE" w:rsidRDefault="006941EE" w:rsidP="006941EE">
      <w:pPr>
        <w:spacing w:line="288" w:lineRule="auto"/>
        <w:sectPr w:rsidR="006941EE" w:rsidSect="00A7608E">
          <w:pgSz w:w="11910" w:h="16840"/>
          <w:pgMar w:top="1040" w:right="1040" w:bottom="960" w:left="1020" w:header="0" w:footer="776" w:gutter="0"/>
          <w:cols w:space="720"/>
        </w:sectPr>
      </w:pPr>
    </w:p>
    <w:p w14:paraId="209755A9" w14:textId="77777777" w:rsidR="006941EE" w:rsidRDefault="006941EE" w:rsidP="006941EE">
      <w:pPr>
        <w:pStyle w:val="Heading1"/>
        <w:keepNext w:val="0"/>
        <w:keepLines w:val="0"/>
        <w:widowControl w:val="0"/>
        <w:numPr>
          <w:ilvl w:val="0"/>
          <w:numId w:val="18"/>
        </w:numPr>
        <w:tabs>
          <w:tab w:val="left" w:pos="474"/>
        </w:tabs>
        <w:autoSpaceDE w:val="0"/>
        <w:autoSpaceDN w:val="0"/>
        <w:spacing w:before="75" w:line="240" w:lineRule="auto"/>
        <w:ind w:hanging="362"/>
      </w:pPr>
      <w:bookmarkStart w:id="3" w:name="_TOC_250011"/>
      <w:r>
        <w:rPr>
          <w:color w:val="0F4F75"/>
        </w:rPr>
        <w:lastRenderedPageBreak/>
        <w:t>Pre-award</w:t>
      </w:r>
      <w:r>
        <w:rPr>
          <w:color w:val="0F4F75"/>
          <w:spacing w:val="-2"/>
        </w:rPr>
        <w:t xml:space="preserve"> </w:t>
      </w:r>
      <w:bookmarkEnd w:id="3"/>
      <w:r>
        <w:rPr>
          <w:color w:val="0F4F75"/>
        </w:rPr>
        <w:t>activities</w:t>
      </w:r>
    </w:p>
    <w:p w14:paraId="68BDE911" w14:textId="77777777" w:rsidR="006941EE" w:rsidRDefault="006941EE" w:rsidP="006941EE">
      <w:pPr>
        <w:pStyle w:val="BodyText"/>
        <w:spacing w:before="241"/>
        <w:ind w:left="112"/>
      </w:pPr>
      <w:r>
        <w:t>Before you enter a subcontract arrangement you must be able to demonstrate:</w:t>
      </w:r>
    </w:p>
    <w:p w14:paraId="58A3259D" w14:textId="77777777" w:rsidR="006941EE" w:rsidRDefault="006941EE" w:rsidP="006941EE">
      <w:pPr>
        <w:pStyle w:val="BodyText"/>
        <w:spacing w:before="10"/>
        <w:rPr>
          <w:sz w:val="20"/>
        </w:rPr>
      </w:pPr>
    </w:p>
    <w:p w14:paraId="05E6DC38"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37"/>
        <w:contextualSpacing w:val="0"/>
        <w:rPr>
          <w:sz w:val="24"/>
        </w:rPr>
      </w:pPr>
      <w:r>
        <w:rPr>
          <w:sz w:val="24"/>
        </w:rPr>
        <w:t>There is a clear educational rationale/business case for subcontracting which aligns to the provider’s corporate and operational strategies. We would expect the business case to set out the policy, business and operational objectives including consultation with stakeholders and undertaking research to determine the education rationale. This rationale must consider the expectation ESFA has for providers to reduce their subcontracted provision. We would also expect the business case to be presented and approved at executive/board level for sign</w:t>
      </w:r>
      <w:r>
        <w:rPr>
          <w:spacing w:val="-30"/>
          <w:sz w:val="24"/>
        </w:rPr>
        <w:t xml:space="preserve"> </w:t>
      </w:r>
      <w:r>
        <w:rPr>
          <w:sz w:val="24"/>
        </w:rPr>
        <w:t>off.</w:t>
      </w:r>
    </w:p>
    <w:p w14:paraId="049AFE34" w14:textId="77777777" w:rsidR="006941EE" w:rsidRDefault="006941EE" w:rsidP="006941EE">
      <w:pPr>
        <w:pStyle w:val="BodyText"/>
        <w:spacing w:before="10"/>
        <w:rPr>
          <w:sz w:val="20"/>
        </w:rPr>
      </w:pPr>
    </w:p>
    <w:p w14:paraId="4916CAA9"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hanging="361"/>
        <w:contextualSpacing w:val="0"/>
        <w:rPr>
          <w:sz w:val="24"/>
        </w:rPr>
      </w:pPr>
      <w:r>
        <w:rPr>
          <w:sz w:val="24"/>
        </w:rPr>
        <w:t>The education rationale meets one or more of the following</w:t>
      </w:r>
      <w:r>
        <w:rPr>
          <w:spacing w:val="-15"/>
          <w:sz w:val="24"/>
        </w:rPr>
        <w:t xml:space="preserve"> </w:t>
      </w:r>
      <w:r>
        <w:rPr>
          <w:sz w:val="24"/>
        </w:rPr>
        <w:t>aims:</w:t>
      </w:r>
    </w:p>
    <w:p w14:paraId="0A6990F6" w14:textId="77777777" w:rsidR="006941EE" w:rsidRDefault="006941EE" w:rsidP="006941EE">
      <w:pPr>
        <w:pStyle w:val="BodyText"/>
        <w:rPr>
          <w:sz w:val="21"/>
        </w:rPr>
      </w:pPr>
    </w:p>
    <w:p w14:paraId="0EEADF7F" w14:textId="77777777" w:rsidR="006941EE" w:rsidRDefault="006941EE" w:rsidP="006941EE">
      <w:pPr>
        <w:pStyle w:val="ListParagraph"/>
        <w:widowControl w:val="0"/>
        <w:numPr>
          <w:ilvl w:val="2"/>
          <w:numId w:val="18"/>
        </w:numPr>
        <w:tabs>
          <w:tab w:val="left" w:pos="1553"/>
          <w:tab w:val="left" w:pos="1554"/>
        </w:tabs>
        <w:autoSpaceDE w:val="0"/>
        <w:autoSpaceDN w:val="0"/>
        <w:spacing w:after="0" w:line="292" w:lineRule="exact"/>
        <w:ind w:hanging="361"/>
        <w:contextualSpacing w:val="0"/>
        <w:rPr>
          <w:sz w:val="24"/>
        </w:rPr>
      </w:pPr>
      <w:r>
        <w:rPr>
          <w:sz w:val="24"/>
        </w:rPr>
        <w:t>enhances the opportunities available for</w:t>
      </w:r>
      <w:r>
        <w:rPr>
          <w:spacing w:val="-6"/>
          <w:sz w:val="24"/>
        </w:rPr>
        <w:t xml:space="preserve"> </w:t>
      </w:r>
      <w:r>
        <w:rPr>
          <w:sz w:val="24"/>
        </w:rPr>
        <w:t>learners</w:t>
      </w:r>
    </w:p>
    <w:p w14:paraId="638CD277" w14:textId="77777777" w:rsidR="006941EE" w:rsidRDefault="006941EE" w:rsidP="006941EE">
      <w:pPr>
        <w:pStyle w:val="ListParagraph"/>
        <w:widowControl w:val="0"/>
        <w:numPr>
          <w:ilvl w:val="2"/>
          <w:numId w:val="18"/>
        </w:numPr>
        <w:tabs>
          <w:tab w:val="left" w:pos="1553"/>
          <w:tab w:val="left" w:pos="1554"/>
        </w:tabs>
        <w:autoSpaceDE w:val="0"/>
        <w:autoSpaceDN w:val="0"/>
        <w:spacing w:after="0" w:line="240" w:lineRule="auto"/>
        <w:ind w:right="553"/>
        <w:contextualSpacing w:val="0"/>
        <w:rPr>
          <w:sz w:val="24"/>
        </w:rPr>
      </w:pPr>
      <w:r>
        <w:rPr>
          <w:sz w:val="24"/>
        </w:rPr>
        <w:t>fills gaps in niche or expert provision or provides better access to training facilities</w:t>
      </w:r>
    </w:p>
    <w:p w14:paraId="2C731C70" w14:textId="77777777" w:rsidR="006941EE" w:rsidRDefault="006941EE" w:rsidP="006941EE">
      <w:pPr>
        <w:pStyle w:val="ListParagraph"/>
        <w:widowControl w:val="0"/>
        <w:numPr>
          <w:ilvl w:val="2"/>
          <w:numId w:val="18"/>
        </w:numPr>
        <w:tabs>
          <w:tab w:val="left" w:pos="1553"/>
          <w:tab w:val="left" w:pos="1554"/>
        </w:tabs>
        <w:autoSpaceDE w:val="0"/>
        <w:autoSpaceDN w:val="0"/>
        <w:spacing w:after="0" w:line="292" w:lineRule="exact"/>
        <w:ind w:hanging="361"/>
        <w:contextualSpacing w:val="0"/>
        <w:rPr>
          <w:sz w:val="24"/>
        </w:rPr>
      </w:pPr>
      <w:r>
        <w:rPr>
          <w:sz w:val="24"/>
        </w:rPr>
        <w:t>supports better geographical access for</w:t>
      </w:r>
      <w:r>
        <w:rPr>
          <w:spacing w:val="-6"/>
          <w:sz w:val="24"/>
        </w:rPr>
        <w:t xml:space="preserve"> </w:t>
      </w:r>
      <w:r>
        <w:rPr>
          <w:sz w:val="24"/>
        </w:rPr>
        <w:t>learners</w:t>
      </w:r>
    </w:p>
    <w:p w14:paraId="5716BC2B" w14:textId="77777777" w:rsidR="006941EE" w:rsidRDefault="006941EE" w:rsidP="006941EE">
      <w:pPr>
        <w:pStyle w:val="ListParagraph"/>
        <w:widowControl w:val="0"/>
        <w:numPr>
          <w:ilvl w:val="2"/>
          <w:numId w:val="18"/>
        </w:numPr>
        <w:tabs>
          <w:tab w:val="left" w:pos="1553"/>
          <w:tab w:val="left" w:pos="1554"/>
        </w:tabs>
        <w:autoSpaceDE w:val="0"/>
        <w:autoSpaceDN w:val="0"/>
        <w:spacing w:after="0" w:line="293" w:lineRule="exact"/>
        <w:ind w:hanging="361"/>
        <w:contextualSpacing w:val="0"/>
        <w:rPr>
          <w:sz w:val="24"/>
        </w:rPr>
      </w:pPr>
      <w:r>
        <w:rPr>
          <w:sz w:val="24"/>
        </w:rPr>
        <w:t>offers an entry point for disadvantaged groups;</w:t>
      </w:r>
      <w:r>
        <w:rPr>
          <w:spacing w:val="-7"/>
          <w:sz w:val="24"/>
        </w:rPr>
        <w:t xml:space="preserve"> </w:t>
      </w:r>
      <w:r>
        <w:rPr>
          <w:sz w:val="24"/>
        </w:rPr>
        <w:t>or</w:t>
      </w:r>
    </w:p>
    <w:p w14:paraId="1E3DA267" w14:textId="77777777" w:rsidR="006941EE" w:rsidRDefault="006941EE" w:rsidP="006941EE">
      <w:pPr>
        <w:pStyle w:val="ListParagraph"/>
        <w:widowControl w:val="0"/>
        <w:numPr>
          <w:ilvl w:val="2"/>
          <w:numId w:val="18"/>
        </w:numPr>
        <w:tabs>
          <w:tab w:val="left" w:pos="1553"/>
          <w:tab w:val="left" w:pos="1554"/>
        </w:tabs>
        <w:autoSpaceDE w:val="0"/>
        <w:autoSpaceDN w:val="0"/>
        <w:spacing w:after="0" w:line="240" w:lineRule="auto"/>
        <w:ind w:right="919"/>
        <w:contextualSpacing w:val="0"/>
        <w:rPr>
          <w:sz w:val="24"/>
        </w:rPr>
      </w:pPr>
      <w:r>
        <w:rPr>
          <w:sz w:val="24"/>
        </w:rPr>
        <w:t>gives consideration of the impact on individuals with shared</w:t>
      </w:r>
      <w:r>
        <w:rPr>
          <w:spacing w:val="-32"/>
          <w:sz w:val="24"/>
        </w:rPr>
        <w:t xml:space="preserve"> </w:t>
      </w:r>
      <w:r>
        <w:rPr>
          <w:sz w:val="24"/>
        </w:rPr>
        <w:t>protected characteristics, where there might otherwise be</w:t>
      </w:r>
      <w:r>
        <w:rPr>
          <w:spacing w:val="-5"/>
          <w:sz w:val="24"/>
        </w:rPr>
        <w:t xml:space="preserve"> </w:t>
      </w:r>
      <w:r>
        <w:rPr>
          <w:sz w:val="24"/>
        </w:rPr>
        <w:t>gaps</w:t>
      </w:r>
    </w:p>
    <w:p w14:paraId="3D8C08A8" w14:textId="77777777" w:rsidR="006941EE" w:rsidRDefault="006941EE" w:rsidP="006941EE">
      <w:pPr>
        <w:pStyle w:val="BodyText"/>
        <w:spacing w:before="10"/>
        <w:rPr>
          <w:sz w:val="23"/>
        </w:rPr>
      </w:pPr>
    </w:p>
    <w:p w14:paraId="4034FA8F"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96"/>
        <w:contextualSpacing w:val="0"/>
        <w:rPr>
          <w:sz w:val="24"/>
        </w:rPr>
      </w:pPr>
      <w:r>
        <w:rPr>
          <w:sz w:val="24"/>
        </w:rPr>
        <w:t>The drafting process for the specification and requirements. This drafting process is concerned with breaking down the overall scope documented as part of the educational rational /business strategy into more detail and then, progressively, and iteratively, refining into schedules of detailed requirements, ensuring that the objectives for subcontracting will be met and the subcontractor will meet the requirements of this standard along with the requirements laid out in the funding rules.</w:t>
      </w:r>
    </w:p>
    <w:p w14:paraId="4B7D1E82" w14:textId="77777777" w:rsidR="006941EE" w:rsidRDefault="006941EE" w:rsidP="006941EE">
      <w:pPr>
        <w:pStyle w:val="BodyText"/>
        <w:spacing w:before="10"/>
        <w:rPr>
          <w:sz w:val="20"/>
        </w:rPr>
      </w:pPr>
    </w:p>
    <w:p w14:paraId="1A0843E9"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721"/>
        <w:contextualSpacing w:val="0"/>
        <w:rPr>
          <w:sz w:val="24"/>
        </w:rPr>
      </w:pPr>
      <w:r>
        <w:rPr>
          <w:sz w:val="24"/>
        </w:rPr>
        <w:t>There is a procurement strategy that would cover the pre-qualification, qualification, and tendering procedures. As part of the strategy, whether this is new or an existing process, the provider would need to decide what pre- qualification is required in respect of the criteria resulting in a Pre-Qualification Questionnaire (PQQ) being produced for those expressing an</w:t>
      </w:r>
      <w:r>
        <w:rPr>
          <w:spacing w:val="-16"/>
          <w:sz w:val="24"/>
        </w:rPr>
        <w:t xml:space="preserve"> </w:t>
      </w:r>
      <w:r>
        <w:rPr>
          <w:sz w:val="24"/>
        </w:rPr>
        <w:t>interest.</w:t>
      </w:r>
    </w:p>
    <w:p w14:paraId="4A21FD96" w14:textId="77777777" w:rsidR="006941EE" w:rsidRDefault="006941EE" w:rsidP="006941EE">
      <w:pPr>
        <w:pStyle w:val="BodyText"/>
        <w:spacing w:before="10"/>
        <w:rPr>
          <w:sz w:val="20"/>
        </w:rPr>
      </w:pPr>
    </w:p>
    <w:p w14:paraId="150A4953" w14:textId="77777777" w:rsidR="006941EE" w:rsidRDefault="006941EE" w:rsidP="006941EE">
      <w:pPr>
        <w:pStyle w:val="ListParagraph"/>
        <w:widowControl w:val="0"/>
        <w:numPr>
          <w:ilvl w:val="1"/>
          <w:numId w:val="18"/>
        </w:numPr>
        <w:tabs>
          <w:tab w:val="left" w:pos="834"/>
        </w:tabs>
        <w:autoSpaceDE w:val="0"/>
        <w:autoSpaceDN w:val="0"/>
        <w:spacing w:before="1" w:after="0" w:line="240" w:lineRule="auto"/>
        <w:ind w:left="833" w:right="391"/>
        <w:contextualSpacing w:val="0"/>
        <w:rPr>
          <w:sz w:val="24"/>
        </w:rPr>
      </w:pPr>
      <w:r>
        <w:rPr>
          <w:sz w:val="24"/>
        </w:rPr>
        <w:t>That the PQQ is sufficient to collect, but not limited to, the following information: organisation, including ultimate parent details including identity, ownership and background, principal activities (past and present), organisational chart, contractor/sub-contracting approach, professional/commercial affiliations, legal, financial, capability, quality management systems, Ofsted reports and experience and track</w:t>
      </w:r>
      <w:r>
        <w:rPr>
          <w:spacing w:val="-3"/>
          <w:sz w:val="24"/>
        </w:rPr>
        <w:t xml:space="preserve"> </w:t>
      </w:r>
      <w:r>
        <w:rPr>
          <w:sz w:val="24"/>
        </w:rPr>
        <w:t>record.</w:t>
      </w:r>
    </w:p>
    <w:p w14:paraId="46ABA2DC" w14:textId="77777777" w:rsidR="006941EE" w:rsidRDefault="006941EE" w:rsidP="006941EE">
      <w:pPr>
        <w:pStyle w:val="BodyText"/>
        <w:spacing w:before="10"/>
        <w:rPr>
          <w:sz w:val="20"/>
        </w:rPr>
      </w:pPr>
    </w:p>
    <w:p w14:paraId="4193A41E"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36"/>
        <w:contextualSpacing w:val="0"/>
        <w:rPr>
          <w:sz w:val="24"/>
        </w:rPr>
      </w:pPr>
      <w:r>
        <w:rPr>
          <w:sz w:val="24"/>
        </w:rPr>
        <w:t>The procurement strategy/process ensures that a robust assessment process for selecting subcontractors has been established that would review</w:t>
      </w:r>
      <w:r>
        <w:rPr>
          <w:spacing w:val="-11"/>
          <w:sz w:val="24"/>
        </w:rPr>
        <w:t xml:space="preserve"> </w:t>
      </w:r>
      <w:r>
        <w:rPr>
          <w:sz w:val="24"/>
        </w:rPr>
        <w:t>the</w:t>
      </w:r>
    </w:p>
    <w:p w14:paraId="580BF6B4" w14:textId="77777777" w:rsidR="006941EE" w:rsidRDefault="006941EE" w:rsidP="006941EE">
      <w:pPr>
        <w:pStyle w:val="BodyText"/>
        <w:ind w:left="833" w:right="458"/>
      </w:pPr>
      <w:r>
        <w:t>subcontractor’s completed PQQ as well as their capability to control quality, delivery, quantity, price and all the other factors contained in the subcontract. Following a successful appraisal, the subcontractor is placed on an approved list of contractors.</w:t>
      </w:r>
    </w:p>
    <w:p w14:paraId="5E042F21" w14:textId="77777777" w:rsidR="006941EE" w:rsidRDefault="006941EE" w:rsidP="006941EE">
      <w:pPr>
        <w:sectPr w:rsidR="006941EE" w:rsidSect="00A7608E">
          <w:pgSz w:w="11910" w:h="16840"/>
          <w:pgMar w:top="1040" w:right="1040" w:bottom="960" w:left="1020" w:header="0" w:footer="776" w:gutter="0"/>
          <w:cols w:space="720"/>
        </w:sectPr>
      </w:pPr>
    </w:p>
    <w:p w14:paraId="6190F9BA" w14:textId="77777777" w:rsidR="006941EE" w:rsidRDefault="006941EE" w:rsidP="006941EE">
      <w:pPr>
        <w:pStyle w:val="ListParagraph"/>
        <w:widowControl w:val="0"/>
        <w:numPr>
          <w:ilvl w:val="1"/>
          <w:numId w:val="18"/>
        </w:numPr>
        <w:tabs>
          <w:tab w:val="left" w:pos="834"/>
        </w:tabs>
        <w:autoSpaceDE w:val="0"/>
        <w:autoSpaceDN w:val="0"/>
        <w:spacing w:before="77" w:after="0" w:line="237" w:lineRule="auto"/>
        <w:ind w:left="833" w:right="369"/>
        <w:contextualSpacing w:val="0"/>
        <w:rPr>
          <w:sz w:val="24"/>
        </w:rPr>
      </w:pPr>
      <w:r>
        <w:rPr>
          <w:sz w:val="24"/>
        </w:rPr>
        <w:lastRenderedPageBreak/>
        <w:t>The procurement process includes the drafting of the ITT documents. Attention should be paid by the provider to ensure that the contract document sets out clearly, comprehensively, and unambiguously, the obligations of the parties to the agreement</w:t>
      </w:r>
      <w:r>
        <w:rPr>
          <w:position w:val="8"/>
          <w:sz w:val="16"/>
        </w:rPr>
        <w:t>1</w:t>
      </w:r>
      <w:r>
        <w:rPr>
          <w:sz w:val="24"/>
        </w:rPr>
        <w:t>.</w:t>
      </w:r>
    </w:p>
    <w:p w14:paraId="11C92E43" w14:textId="77777777" w:rsidR="006941EE" w:rsidRDefault="006941EE" w:rsidP="006941EE">
      <w:pPr>
        <w:pStyle w:val="ListParagraph"/>
        <w:widowControl w:val="0"/>
        <w:numPr>
          <w:ilvl w:val="1"/>
          <w:numId w:val="18"/>
        </w:numPr>
        <w:tabs>
          <w:tab w:val="left" w:pos="834"/>
        </w:tabs>
        <w:autoSpaceDE w:val="0"/>
        <w:autoSpaceDN w:val="0"/>
        <w:spacing w:before="244" w:after="0" w:line="240" w:lineRule="auto"/>
        <w:ind w:left="833" w:hanging="361"/>
        <w:contextualSpacing w:val="0"/>
        <w:rPr>
          <w:sz w:val="24"/>
        </w:rPr>
      </w:pPr>
      <w:r>
        <w:rPr>
          <w:sz w:val="24"/>
        </w:rPr>
        <w:t>The evaluation process includes not only the analysis of the</w:t>
      </w:r>
      <w:r>
        <w:rPr>
          <w:spacing w:val="-19"/>
          <w:sz w:val="24"/>
        </w:rPr>
        <w:t xml:space="preserve"> </w:t>
      </w:r>
      <w:r>
        <w:rPr>
          <w:sz w:val="24"/>
        </w:rPr>
        <w:t>potential</w:t>
      </w:r>
    </w:p>
    <w:p w14:paraId="6E008413" w14:textId="77777777" w:rsidR="006941EE" w:rsidRDefault="006941EE" w:rsidP="006941EE">
      <w:pPr>
        <w:pStyle w:val="BodyText"/>
        <w:ind w:left="833" w:right="312"/>
      </w:pPr>
      <w:r>
        <w:t>subcontractor’s response to the main subject matter of the requirements set out in the ITT, such as price, delivery, quality, methodology, for example but also, most importantly, the quality of the bidder’s offer. There should be a clear rationale for how the tenders are evaluated and scored.</w:t>
      </w:r>
    </w:p>
    <w:p w14:paraId="24D7AE89" w14:textId="77777777" w:rsidR="006941EE" w:rsidRDefault="006941EE" w:rsidP="006941EE">
      <w:pPr>
        <w:pStyle w:val="BodyText"/>
        <w:spacing w:before="10"/>
        <w:rPr>
          <w:sz w:val="20"/>
        </w:rPr>
      </w:pPr>
    </w:p>
    <w:p w14:paraId="014F8B53"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82"/>
        <w:contextualSpacing w:val="0"/>
        <w:rPr>
          <w:sz w:val="24"/>
        </w:rPr>
      </w:pPr>
      <w:r>
        <w:rPr>
          <w:sz w:val="24"/>
        </w:rPr>
        <w:t>That following tender evaluation and, where appropriate, negotiation, the provider will satisfy themselves that an offer has been made which meets its requirements in all respects, including budgetary and capability, and consider that it is able to accept an offer and award the contract to the tenderer who meets the contract specification. It may then move directly to the award stage or make a recommendation to higher authority levels within the organisation for acceptance is aligned to the provider's strategic and operational</w:t>
      </w:r>
      <w:r>
        <w:rPr>
          <w:spacing w:val="-15"/>
          <w:sz w:val="24"/>
        </w:rPr>
        <w:t xml:space="preserve"> </w:t>
      </w:r>
      <w:r>
        <w:rPr>
          <w:sz w:val="24"/>
        </w:rPr>
        <w:t>objectives.</w:t>
      </w:r>
    </w:p>
    <w:p w14:paraId="63A0A28D" w14:textId="77777777" w:rsidR="006941EE" w:rsidRDefault="006941EE" w:rsidP="006941EE">
      <w:pPr>
        <w:pStyle w:val="BodyText"/>
        <w:spacing w:before="11"/>
        <w:rPr>
          <w:sz w:val="20"/>
        </w:rPr>
      </w:pPr>
    </w:p>
    <w:p w14:paraId="2488EC4B"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57"/>
        <w:contextualSpacing w:val="0"/>
        <w:rPr>
          <w:color w:val="0D0D0D"/>
          <w:sz w:val="24"/>
        </w:rPr>
      </w:pPr>
      <w:r>
        <w:rPr>
          <w:color w:val="0D0D0D"/>
          <w:sz w:val="24"/>
        </w:rPr>
        <w:t>That there is a contract management plan which determines how the contract will work once it has been awarded. It is vital that a contract management plan is drawn up in advance of contract award. This should set out how the obligations</w:t>
      </w:r>
      <w:r>
        <w:rPr>
          <w:color w:val="0D0D0D"/>
          <w:spacing w:val="-37"/>
          <w:sz w:val="24"/>
        </w:rPr>
        <w:t xml:space="preserve"> </w:t>
      </w:r>
      <w:r>
        <w:rPr>
          <w:color w:val="0D0D0D"/>
          <w:sz w:val="24"/>
        </w:rPr>
        <w:t>of all the parties should be carried out effectively and</w:t>
      </w:r>
      <w:r>
        <w:rPr>
          <w:color w:val="0D0D0D"/>
          <w:spacing w:val="-13"/>
          <w:sz w:val="24"/>
        </w:rPr>
        <w:t xml:space="preserve"> </w:t>
      </w:r>
      <w:r>
        <w:rPr>
          <w:color w:val="0D0D0D"/>
          <w:sz w:val="24"/>
        </w:rPr>
        <w:t>efficiently.</w:t>
      </w:r>
    </w:p>
    <w:p w14:paraId="33DDBBDC" w14:textId="77777777" w:rsidR="006941EE" w:rsidRDefault="006941EE" w:rsidP="006941EE">
      <w:pPr>
        <w:pStyle w:val="BodyText"/>
        <w:spacing w:before="9"/>
        <w:rPr>
          <w:sz w:val="28"/>
        </w:rPr>
      </w:pPr>
    </w:p>
    <w:p w14:paraId="5C7CACC1"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36"/>
        <w:contextualSpacing w:val="0"/>
        <w:rPr>
          <w:color w:val="0D0D0D"/>
          <w:sz w:val="24"/>
        </w:rPr>
      </w:pPr>
      <w:r>
        <w:rPr>
          <w:color w:val="0D0D0D"/>
          <w:sz w:val="24"/>
        </w:rPr>
        <w:t>That the proposed subcontract will meet the agreed educational needs, that it is achievable and affordable, and it addresses the desired outcome(s) of the subcontract, critical success factors, the possible alternatives, including existing contracts, the risks including the extent and where they may fall, identification of any contingent needs and ramifications of proceeding and</w:t>
      </w:r>
      <w:r>
        <w:rPr>
          <w:color w:val="0D0D0D"/>
          <w:spacing w:val="-18"/>
          <w:sz w:val="24"/>
        </w:rPr>
        <w:t xml:space="preserve"> </w:t>
      </w:r>
      <w:r>
        <w:rPr>
          <w:color w:val="0D0D0D"/>
          <w:sz w:val="24"/>
        </w:rPr>
        <w:t>timescales.</w:t>
      </w:r>
    </w:p>
    <w:p w14:paraId="35FC4D0B" w14:textId="77777777" w:rsidR="006941EE" w:rsidRDefault="006941EE" w:rsidP="006941EE">
      <w:pPr>
        <w:pStyle w:val="BodyText"/>
        <w:spacing w:before="10"/>
        <w:rPr>
          <w:sz w:val="28"/>
        </w:rPr>
      </w:pPr>
    </w:p>
    <w:p w14:paraId="2B246C2D"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1076"/>
        <w:contextualSpacing w:val="0"/>
        <w:rPr>
          <w:color w:val="0D0D0D"/>
          <w:sz w:val="24"/>
        </w:rPr>
      </w:pPr>
      <w:r>
        <w:rPr>
          <w:color w:val="0D0D0D"/>
          <w:sz w:val="24"/>
        </w:rPr>
        <w:t>Where appropriate you have sought approval from ESFA for any agreed subcontracting terms in relation to distance learning and whole programme subcontracting for 16 to 19 and there is evidence of</w:t>
      </w:r>
      <w:r>
        <w:rPr>
          <w:color w:val="0D0D0D"/>
          <w:spacing w:val="-7"/>
          <w:sz w:val="24"/>
        </w:rPr>
        <w:t xml:space="preserve"> </w:t>
      </w:r>
      <w:r>
        <w:rPr>
          <w:color w:val="0D0D0D"/>
          <w:sz w:val="24"/>
        </w:rPr>
        <w:t>this.</w:t>
      </w:r>
    </w:p>
    <w:p w14:paraId="2F56B145" w14:textId="77777777" w:rsidR="006941EE" w:rsidRDefault="006941EE" w:rsidP="006941EE">
      <w:pPr>
        <w:pStyle w:val="BodyText"/>
        <w:spacing w:before="9"/>
        <w:rPr>
          <w:sz w:val="28"/>
        </w:rPr>
      </w:pPr>
    </w:p>
    <w:p w14:paraId="2BDB8360"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39"/>
        <w:contextualSpacing w:val="0"/>
        <w:rPr>
          <w:color w:val="0D0D0D"/>
          <w:sz w:val="24"/>
        </w:rPr>
      </w:pPr>
      <w:r>
        <w:rPr>
          <w:color w:val="0D0D0D"/>
          <w:sz w:val="24"/>
        </w:rPr>
        <w:t xml:space="preserve">That management fees have been determined for the full range of funding retained and charges that they wish to apply, and these have been agreed at executive level and published on the website. </w:t>
      </w:r>
      <w:r>
        <w:rPr>
          <w:sz w:val="24"/>
        </w:rPr>
        <w:t>These should only exceed 20% in exceptional circumstances, and where they do, ESFA reserve the right to challenge.</w:t>
      </w:r>
    </w:p>
    <w:p w14:paraId="1F4BD584" w14:textId="77777777" w:rsidR="006941EE" w:rsidRDefault="006941EE" w:rsidP="006941EE">
      <w:pPr>
        <w:pStyle w:val="BodyText"/>
        <w:rPr>
          <w:sz w:val="20"/>
        </w:rPr>
      </w:pPr>
    </w:p>
    <w:p w14:paraId="3B4AE20D" w14:textId="77777777" w:rsidR="006941EE" w:rsidRDefault="006941EE" w:rsidP="006941EE">
      <w:pPr>
        <w:pStyle w:val="BodyText"/>
        <w:rPr>
          <w:sz w:val="20"/>
        </w:rPr>
      </w:pPr>
    </w:p>
    <w:p w14:paraId="42CECFEF" w14:textId="77777777" w:rsidR="006941EE" w:rsidRDefault="006941EE" w:rsidP="006941EE">
      <w:pPr>
        <w:pStyle w:val="BodyText"/>
        <w:rPr>
          <w:sz w:val="20"/>
        </w:rPr>
      </w:pPr>
    </w:p>
    <w:p w14:paraId="130BDB0B" w14:textId="77777777" w:rsidR="006941EE" w:rsidRDefault="006941EE" w:rsidP="006941EE">
      <w:pPr>
        <w:pStyle w:val="BodyText"/>
        <w:rPr>
          <w:sz w:val="20"/>
        </w:rPr>
      </w:pPr>
    </w:p>
    <w:p w14:paraId="48DEF8F5" w14:textId="77777777" w:rsidR="006941EE" w:rsidRDefault="006941EE" w:rsidP="006941EE">
      <w:pPr>
        <w:pStyle w:val="BodyText"/>
        <w:rPr>
          <w:sz w:val="20"/>
        </w:rPr>
      </w:pPr>
    </w:p>
    <w:p w14:paraId="2D019F2E" w14:textId="77777777" w:rsidR="006941EE" w:rsidRDefault="006941EE" w:rsidP="006941EE">
      <w:pPr>
        <w:pStyle w:val="BodyText"/>
        <w:spacing w:before="5"/>
        <w:rPr>
          <w:sz w:val="11"/>
        </w:rPr>
      </w:pPr>
      <w:r>
        <w:rPr>
          <w:noProof/>
          <w:lang w:val="en-GB" w:eastAsia="en-GB"/>
        </w:rPr>
        <mc:AlternateContent>
          <mc:Choice Requires="wps">
            <w:drawing>
              <wp:anchor distT="0" distB="0" distL="0" distR="0" simplePos="0" relativeHeight="251658247" behindDoc="1" locked="0" layoutInCell="1" allowOverlap="1" wp14:anchorId="3BAE84F7" wp14:editId="312FDADD">
                <wp:simplePos x="0" y="0"/>
                <wp:positionH relativeFrom="page">
                  <wp:posOffset>719455</wp:posOffset>
                </wp:positionH>
                <wp:positionV relativeFrom="paragraph">
                  <wp:posOffset>112395</wp:posOffset>
                </wp:positionV>
                <wp:extent cx="1829435" cy="1270"/>
                <wp:effectExtent l="5080" t="10160" r="13335" b="762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7621">
                          <a:solidFill>
                            <a:srgbClr val="0D0D0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FD4BD3D" id="Freeform 13" o:spid="_x0000_s1026" style="position:absolute;margin-left:56.65pt;margin-top:8.85pt;width:144.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" path="m,l2881,e" filled="f" strokecolor="#0d0d0d" strokeweight=".21169mm">
                <v:path arrowok="t" o:connecttype="custom" o:connectlocs="0,0;1829435,0" o:connectangles="0,0"/>
                <w10:wrap type="topAndBottom" anchorx="page"/>
              </v:shape>
            </w:pict>
          </mc:Fallback>
        </mc:AlternateContent>
      </w:r>
    </w:p>
    <w:p w14:paraId="324468D3" w14:textId="77777777" w:rsidR="006941EE" w:rsidRDefault="006941EE" w:rsidP="006941EE">
      <w:pPr>
        <w:pStyle w:val="BodyText"/>
        <w:rPr>
          <w:sz w:val="20"/>
        </w:rPr>
      </w:pPr>
    </w:p>
    <w:p w14:paraId="05763A93" w14:textId="77777777" w:rsidR="006941EE" w:rsidRDefault="006941EE" w:rsidP="006941EE">
      <w:pPr>
        <w:pStyle w:val="BodyText"/>
        <w:rPr>
          <w:sz w:val="20"/>
        </w:rPr>
      </w:pPr>
    </w:p>
    <w:p w14:paraId="23B1DDAA" w14:textId="77777777" w:rsidR="006941EE" w:rsidRDefault="006941EE" w:rsidP="006941EE">
      <w:pPr>
        <w:pStyle w:val="BodyText"/>
        <w:rPr>
          <w:sz w:val="20"/>
        </w:rPr>
      </w:pPr>
    </w:p>
    <w:p w14:paraId="79918870" w14:textId="77777777" w:rsidR="006941EE" w:rsidRDefault="006941EE" w:rsidP="006941EE">
      <w:pPr>
        <w:pStyle w:val="BodyText"/>
        <w:spacing w:before="4"/>
        <w:rPr>
          <w:sz w:val="21"/>
        </w:rPr>
      </w:pPr>
    </w:p>
    <w:p w14:paraId="5F2C2E0A" w14:textId="77777777" w:rsidR="006941EE" w:rsidRDefault="006941EE" w:rsidP="006941EE">
      <w:pPr>
        <w:ind w:left="833" w:right="228"/>
        <w:rPr>
          <w:sz w:val="16"/>
        </w:rPr>
      </w:pPr>
      <w:r>
        <w:rPr>
          <w:position w:val="6"/>
          <w:sz w:val="10"/>
        </w:rPr>
        <w:t xml:space="preserve">1 </w:t>
      </w:r>
      <w:r>
        <w:rPr>
          <w:sz w:val="16"/>
        </w:rPr>
        <w:t>In accordance with the Apprenticeship Funding Rules you must ensure that you comply with current and relevant procurement regulations. If you are a contracting authority, this means that you must comply with the Public Contracts Regulations 2015 (“the 2015 Regulations”). You must ensure that you select your Sub-Contractor(s) fairly, transparently and without discrimination and that you ensure that potential Sub-Contractors have sufficient capacity, quality and business standing to deliver the provision that is being subcontracted.</w:t>
      </w:r>
    </w:p>
    <w:p w14:paraId="3CEF317D" w14:textId="77777777" w:rsidR="006941EE" w:rsidRDefault="006941EE" w:rsidP="006941EE">
      <w:pPr>
        <w:rPr>
          <w:sz w:val="16"/>
        </w:rPr>
        <w:sectPr w:rsidR="006941EE" w:rsidSect="00A7608E">
          <w:pgSz w:w="11910" w:h="16840"/>
          <w:pgMar w:top="1040" w:right="1040" w:bottom="960" w:left="1020" w:header="0" w:footer="776" w:gutter="0"/>
          <w:cols w:space="720"/>
        </w:sectPr>
      </w:pPr>
    </w:p>
    <w:p w14:paraId="3F4A6BEA" w14:textId="77777777" w:rsidR="006941EE" w:rsidRDefault="006941EE" w:rsidP="006941EE">
      <w:pPr>
        <w:pStyle w:val="Heading1"/>
        <w:keepNext w:val="0"/>
        <w:keepLines w:val="0"/>
        <w:widowControl w:val="0"/>
        <w:numPr>
          <w:ilvl w:val="0"/>
          <w:numId w:val="18"/>
        </w:numPr>
        <w:tabs>
          <w:tab w:val="left" w:pos="474"/>
        </w:tabs>
        <w:autoSpaceDE w:val="0"/>
        <w:autoSpaceDN w:val="0"/>
        <w:spacing w:before="75" w:line="240" w:lineRule="auto"/>
        <w:ind w:hanging="362"/>
      </w:pPr>
      <w:bookmarkStart w:id="4" w:name="_TOC_250010"/>
      <w:r>
        <w:rPr>
          <w:color w:val="0F4F75"/>
        </w:rPr>
        <w:lastRenderedPageBreak/>
        <w:t>Contract award and</w:t>
      </w:r>
      <w:r>
        <w:rPr>
          <w:color w:val="0F4F75"/>
          <w:spacing w:val="-1"/>
        </w:rPr>
        <w:t xml:space="preserve"> </w:t>
      </w:r>
      <w:bookmarkEnd w:id="4"/>
      <w:r>
        <w:rPr>
          <w:color w:val="0F4F75"/>
        </w:rPr>
        <w:t>management</w:t>
      </w:r>
    </w:p>
    <w:p w14:paraId="251AD23E" w14:textId="77777777" w:rsidR="006941EE" w:rsidRDefault="006941EE" w:rsidP="006941EE">
      <w:pPr>
        <w:pStyle w:val="BodyText"/>
        <w:spacing w:before="241"/>
        <w:ind w:left="112" w:right="379"/>
      </w:pPr>
      <w:r>
        <w:t>In preparing for contract management and providing oversight the provider must be able to demonstrate:</w:t>
      </w:r>
    </w:p>
    <w:p w14:paraId="11004D06" w14:textId="77777777" w:rsidR="006941EE" w:rsidRDefault="006941EE" w:rsidP="006941EE">
      <w:pPr>
        <w:pStyle w:val="BodyText"/>
        <w:spacing w:before="10"/>
        <w:rPr>
          <w:sz w:val="20"/>
        </w:rPr>
      </w:pPr>
    </w:p>
    <w:p w14:paraId="53979102"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30"/>
        <w:contextualSpacing w:val="0"/>
        <w:jc w:val="both"/>
        <w:rPr>
          <w:sz w:val="24"/>
        </w:rPr>
      </w:pPr>
      <w:r>
        <w:rPr>
          <w:sz w:val="24"/>
        </w:rPr>
        <w:t>That all awarded contracts are managed by staff within the organisation who have clearly defined role(s) that have been agreed as part of the overall considerations in producing the business</w:t>
      </w:r>
      <w:r>
        <w:rPr>
          <w:spacing w:val="-4"/>
          <w:sz w:val="24"/>
        </w:rPr>
        <w:t xml:space="preserve"> </w:t>
      </w:r>
      <w:r>
        <w:rPr>
          <w:sz w:val="24"/>
        </w:rPr>
        <w:t>case.</w:t>
      </w:r>
    </w:p>
    <w:p w14:paraId="78A2CB8C" w14:textId="77777777" w:rsidR="006941EE" w:rsidRDefault="006941EE" w:rsidP="006941EE">
      <w:pPr>
        <w:pStyle w:val="BodyText"/>
        <w:spacing w:before="10"/>
        <w:rPr>
          <w:sz w:val="20"/>
        </w:rPr>
      </w:pPr>
    </w:p>
    <w:p w14:paraId="1867A130"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20"/>
        <w:contextualSpacing w:val="0"/>
        <w:rPr>
          <w:sz w:val="24"/>
        </w:rPr>
      </w:pPr>
      <w:r>
        <w:rPr>
          <w:sz w:val="24"/>
        </w:rPr>
        <w:t>The defined roles ensure that contract ownership is clear, with the budget holder, senior responsible owner (SRO), and contract manager clearly defined (where appropriate).</w:t>
      </w:r>
    </w:p>
    <w:p w14:paraId="5A9F747F" w14:textId="77777777" w:rsidR="006941EE" w:rsidRDefault="006941EE" w:rsidP="006941EE">
      <w:pPr>
        <w:pStyle w:val="BodyText"/>
        <w:spacing w:before="10"/>
        <w:rPr>
          <w:sz w:val="20"/>
        </w:rPr>
      </w:pPr>
    </w:p>
    <w:p w14:paraId="3244FF9C"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42"/>
        <w:contextualSpacing w:val="0"/>
        <w:rPr>
          <w:color w:val="0D0D0D"/>
          <w:sz w:val="24"/>
        </w:rPr>
      </w:pPr>
      <w:r>
        <w:rPr>
          <w:color w:val="0D0D0D"/>
          <w:sz w:val="24"/>
        </w:rPr>
        <w:t>There are well defined policies and processes and a clear contract management plan, with a focus on outputs and a ‘whole life’ approach to performance. For example. this must include, where appropriate, evidence of how the provider</w:t>
      </w:r>
      <w:r>
        <w:rPr>
          <w:color w:val="0D0D0D"/>
          <w:spacing w:val="-28"/>
          <w:sz w:val="24"/>
        </w:rPr>
        <w:t xml:space="preserve"> </w:t>
      </w:r>
      <w:r>
        <w:rPr>
          <w:color w:val="0D0D0D"/>
          <w:sz w:val="24"/>
        </w:rPr>
        <w:t>will:</w:t>
      </w:r>
    </w:p>
    <w:p w14:paraId="1C0EC47D" w14:textId="77777777" w:rsidR="006941EE" w:rsidRDefault="006941EE" w:rsidP="006941EE">
      <w:pPr>
        <w:pStyle w:val="BodyText"/>
        <w:spacing w:before="1"/>
      </w:pPr>
    </w:p>
    <w:p w14:paraId="7D94A774" w14:textId="77777777" w:rsidR="006941EE" w:rsidRDefault="006941EE" w:rsidP="006941EE">
      <w:pPr>
        <w:pStyle w:val="ListParagraph"/>
        <w:widowControl w:val="0"/>
        <w:numPr>
          <w:ilvl w:val="0"/>
          <w:numId w:val="17"/>
        </w:numPr>
        <w:tabs>
          <w:tab w:val="left" w:pos="1554"/>
        </w:tabs>
        <w:autoSpaceDE w:val="0"/>
        <w:autoSpaceDN w:val="0"/>
        <w:spacing w:after="0" w:line="240" w:lineRule="auto"/>
        <w:ind w:hanging="361"/>
        <w:contextualSpacing w:val="0"/>
        <w:rPr>
          <w:sz w:val="24"/>
        </w:rPr>
      </w:pPr>
      <w:r>
        <w:rPr>
          <w:color w:val="0D0D0D"/>
          <w:sz w:val="24"/>
        </w:rPr>
        <w:t>manage and oversee 16 to 19 distance and whole programme</w:t>
      </w:r>
      <w:r>
        <w:rPr>
          <w:color w:val="0D0D0D"/>
          <w:spacing w:val="-13"/>
          <w:sz w:val="24"/>
        </w:rPr>
        <w:t xml:space="preserve"> </w:t>
      </w:r>
      <w:r>
        <w:rPr>
          <w:color w:val="0D0D0D"/>
          <w:sz w:val="24"/>
        </w:rPr>
        <w:t>provision</w:t>
      </w:r>
    </w:p>
    <w:p w14:paraId="4AE9083F" w14:textId="77777777" w:rsidR="006941EE" w:rsidRDefault="006941EE" w:rsidP="006941EE">
      <w:pPr>
        <w:pStyle w:val="BodyText"/>
        <w:ind w:left="1553"/>
      </w:pPr>
      <w:r>
        <w:rPr>
          <w:color w:val="0D0D0D"/>
        </w:rPr>
        <w:t>through the life of each learner’s programme of study.</w:t>
      </w:r>
    </w:p>
    <w:p w14:paraId="68EE4382" w14:textId="77777777" w:rsidR="006941EE" w:rsidRDefault="006941EE" w:rsidP="006941EE">
      <w:pPr>
        <w:pStyle w:val="BodyText"/>
      </w:pPr>
    </w:p>
    <w:p w14:paraId="17A0BE47" w14:textId="77777777" w:rsidR="006941EE" w:rsidRDefault="006941EE" w:rsidP="006941EE">
      <w:pPr>
        <w:pStyle w:val="ListParagraph"/>
        <w:widowControl w:val="0"/>
        <w:numPr>
          <w:ilvl w:val="0"/>
          <w:numId w:val="17"/>
        </w:numPr>
        <w:tabs>
          <w:tab w:val="left" w:pos="1554"/>
        </w:tabs>
        <w:autoSpaceDE w:val="0"/>
        <w:autoSpaceDN w:val="0"/>
        <w:spacing w:after="0" w:line="240" w:lineRule="auto"/>
        <w:ind w:right="606"/>
        <w:contextualSpacing w:val="0"/>
        <w:rPr>
          <w:sz w:val="24"/>
        </w:rPr>
      </w:pPr>
      <w:r>
        <w:rPr>
          <w:color w:val="0D0D0D"/>
          <w:sz w:val="24"/>
        </w:rPr>
        <w:t>define how whole programme subcontracting for AEB will be agreed and managed.</w:t>
      </w:r>
    </w:p>
    <w:p w14:paraId="0CB05A6D" w14:textId="77777777" w:rsidR="006941EE" w:rsidRDefault="006941EE" w:rsidP="006941EE">
      <w:pPr>
        <w:pStyle w:val="BodyText"/>
      </w:pPr>
    </w:p>
    <w:p w14:paraId="6489B6A7" w14:textId="77777777" w:rsidR="006941EE" w:rsidRDefault="006941EE" w:rsidP="006941EE">
      <w:pPr>
        <w:pStyle w:val="ListParagraph"/>
        <w:widowControl w:val="0"/>
        <w:numPr>
          <w:ilvl w:val="0"/>
          <w:numId w:val="17"/>
        </w:numPr>
        <w:tabs>
          <w:tab w:val="left" w:pos="1554"/>
        </w:tabs>
        <w:autoSpaceDE w:val="0"/>
        <w:autoSpaceDN w:val="0"/>
        <w:spacing w:after="0" w:line="240" w:lineRule="auto"/>
        <w:ind w:right="403"/>
        <w:contextualSpacing w:val="0"/>
        <w:rPr>
          <w:sz w:val="24"/>
        </w:rPr>
      </w:pPr>
      <w:r>
        <w:rPr>
          <w:color w:val="0D0D0D"/>
          <w:sz w:val="24"/>
        </w:rPr>
        <w:t>ensure apprenticeship provision is not delivered solely by a subcontractor, as per the apprenticeship funding rules with specific regard to substance, leading the relationship, and the subcontracted delivery complimenting the main provider’s</w:t>
      </w:r>
      <w:r>
        <w:rPr>
          <w:color w:val="0D0D0D"/>
          <w:spacing w:val="-5"/>
          <w:sz w:val="24"/>
        </w:rPr>
        <w:t xml:space="preserve"> </w:t>
      </w:r>
      <w:r>
        <w:rPr>
          <w:color w:val="0D0D0D"/>
          <w:sz w:val="24"/>
        </w:rPr>
        <w:t>programme.</w:t>
      </w:r>
    </w:p>
    <w:p w14:paraId="12310135" w14:textId="77777777" w:rsidR="006941EE" w:rsidRDefault="006941EE" w:rsidP="006941EE">
      <w:pPr>
        <w:pStyle w:val="BodyText"/>
        <w:spacing w:before="10"/>
        <w:rPr>
          <w:sz w:val="28"/>
        </w:rPr>
      </w:pPr>
    </w:p>
    <w:p w14:paraId="7D080E3D"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75"/>
        <w:contextualSpacing w:val="0"/>
        <w:rPr>
          <w:color w:val="0D0D0D"/>
          <w:sz w:val="24"/>
        </w:rPr>
      </w:pPr>
      <w:r>
        <w:rPr>
          <w:color w:val="0D0D0D"/>
          <w:sz w:val="24"/>
        </w:rPr>
        <w:t>How these policies, including the rationale, are reviewed by the provider ahead of each Funding Year. Furthermore, the provider should demonstrate that the policies and rationale have been appropriately authorised through</w:t>
      </w:r>
      <w:r>
        <w:rPr>
          <w:color w:val="0D0D0D"/>
          <w:spacing w:val="-16"/>
          <w:sz w:val="24"/>
        </w:rPr>
        <w:t xml:space="preserve"> </w:t>
      </w:r>
      <w:r>
        <w:rPr>
          <w:color w:val="0D0D0D"/>
          <w:sz w:val="24"/>
        </w:rPr>
        <w:t>the</w:t>
      </w:r>
    </w:p>
    <w:p w14:paraId="39173F02" w14:textId="77777777" w:rsidR="006941EE" w:rsidRDefault="006941EE" w:rsidP="006941EE">
      <w:pPr>
        <w:pStyle w:val="BodyText"/>
        <w:ind w:left="833" w:right="672"/>
      </w:pPr>
      <w:proofErr w:type="spellStart"/>
      <w:r>
        <w:rPr>
          <w:color w:val="0D0D0D"/>
        </w:rPr>
        <w:t>organisation’s</w:t>
      </w:r>
      <w:proofErr w:type="spellEnd"/>
      <w:r>
        <w:rPr>
          <w:color w:val="0D0D0D"/>
        </w:rPr>
        <w:t xml:space="preserve"> governance structure. Once reviewed, updated policies must be published by 31 October in the relevant funding year.</w:t>
      </w:r>
    </w:p>
    <w:p w14:paraId="4BD90B83" w14:textId="77777777" w:rsidR="006941EE" w:rsidRDefault="006941EE" w:rsidP="006941EE">
      <w:pPr>
        <w:pStyle w:val="BodyText"/>
      </w:pPr>
    </w:p>
    <w:p w14:paraId="609B8DFC"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96"/>
        <w:contextualSpacing w:val="0"/>
        <w:rPr>
          <w:sz w:val="24"/>
        </w:rPr>
      </w:pPr>
      <w:r>
        <w:rPr>
          <w:sz w:val="24"/>
        </w:rPr>
        <w:t>Where appropriate, overall ownership of contract management across the organisation is clear, with a ‘contract management senior responsible owner’ with responsibility for driving organisation-wide contract management</w:t>
      </w:r>
      <w:r>
        <w:rPr>
          <w:spacing w:val="-17"/>
          <w:sz w:val="24"/>
        </w:rPr>
        <w:t xml:space="preserve"> </w:t>
      </w:r>
      <w:r>
        <w:rPr>
          <w:sz w:val="24"/>
        </w:rPr>
        <w:t>performance.</w:t>
      </w:r>
    </w:p>
    <w:p w14:paraId="4AA2DDE1" w14:textId="77777777" w:rsidR="006941EE" w:rsidRDefault="006941EE" w:rsidP="006941EE">
      <w:pPr>
        <w:pStyle w:val="BodyText"/>
        <w:spacing w:before="10"/>
        <w:rPr>
          <w:sz w:val="20"/>
        </w:rPr>
      </w:pPr>
    </w:p>
    <w:p w14:paraId="6526D8B4"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750"/>
        <w:contextualSpacing w:val="0"/>
        <w:rPr>
          <w:sz w:val="24"/>
        </w:rPr>
      </w:pPr>
      <w:r>
        <w:rPr>
          <w:sz w:val="24"/>
        </w:rPr>
        <w:t>Contract management processes are aligned with, among others, wider organisational governance processes, operational boards, and risk</w:t>
      </w:r>
      <w:r>
        <w:rPr>
          <w:spacing w:val="-23"/>
          <w:sz w:val="24"/>
        </w:rPr>
        <w:t xml:space="preserve"> </w:t>
      </w:r>
      <w:r>
        <w:rPr>
          <w:sz w:val="24"/>
        </w:rPr>
        <w:t>structures.</w:t>
      </w:r>
    </w:p>
    <w:p w14:paraId="1E5454AC" w14:textId="77777777" w:rsidR="006941EE" w:rsidRDefault="006941EE" w:rsidP="006941EE">
      <w:pPr>
        <w:pStyle w:val="BodyText"/>
        <w:spacing w:before="11"/>
        <w:rPr>
          <w:sz w:val="20"/>
        </w:rPr>
      </w:pPr>
    </w:p>
    <w:p w14:paraId="244117D0"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1356"/>
        <w:contextualSpacing w:val="0"/>
        <w:rPr>
          <w:sz w:val="24"/>
        </w:rPr>
      </w:pPr>
      <w:r>
        <w:rPr>
          <w:sz w:val="24"/>
        </w:rPr>
        <w:t>Contract management issues and performance are reported through the governance structure with senior level</w:t>
      </w:r>
      <w:r>
        <w:rPr>
          <w:spacing w:val="-8"/>
          <w:sz w:val="24"/>
        </w:rPr>
        <w:t xml:space="preserve"> </w:t>
      </w:r>
      <w:r>
        <w:rPr>
          <w:sz w:val="24"/>
        </w:rPr>
        <w:t>engagement.</w:t>
      </w:r>
    </w:p>
    <w:p w14:paraId="703B4B6B" w14:textId="77777777" w:rsidR="006941EE" w:rsidRDefault="006941EE" w:rsidP="006941EE">
      <w:pPr>
        <w:pStyle w:val="BodyText"/>
        <w:spacing w:before="10"/>
        <w:rPr>
          <w:sz w:val="20"/>
        </w:rPr>
      </w:pPr>
    </w:p>
    <w:p w14:paraId="2DC9454D"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743"/>
        <w:contextualSpacing w:val="0"/>
        <w:rPr>
          <w:sz w:val="24"/>
        </w:rPr>
      </w:pPr>
      <w:r>
        <w:rPr>
          <w:sz w:val="24"/>
        </w:rPr>
        <w:t>Regular assessment and evaluation must take place to ensure that the cost of contract management activities is justified and proportionate to the benefits obtained.</w:t>
      </w:r>
    </w:p>
    <w:p w14:paraId="1D747783" w14:textId="77777777" w:rsidR="006941EE" w:rsidRDefault="006941EE" w:rsidP="006941EE">
      <w:pPr>
        <w:pStyle w:val="BodyText"/>
        <w:spacing w:before="10"/>
        <w:rPr>
          <w:sz w:val="20"/>
        </w:rPr>
      </w:pPr>
    </w:p>
    <w:p w14:paraId="18199C95"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623"/>
        <w:contextualSpacing w:val="0"/>
        <w:rPr>
          <w:sz w:val="24"/>
        </w:rPr>
      </w:pPr>
      <w:r>
        <w:rPr>
          <w:sz w:val="24"/>
        </w:rPr>
        <w:t>Knowledge management is embedded, capturing key data and lessons from contract management process and experience both within the organisation and more</w:t>
      </w:r>
      <w:r>
        <w:rPr>
          <w:spacing w:val="-1"/>
          <w:sz w:val="24"/>
        </w:rPr>
        <w:t xml:space="preserve"> </w:t>
      </w:r>
      <w:r>
        <w:rPr>
          <w:sz w:val="24"/>
        </w:rPr>
        <w:t>widely.</w:t>
      </w:r>
    </w:p>
    <w:p w14:paraId="2998B840" w14:textId="77777777" w:rsidR="006941EE" w:rsidRDefault="006941EE" w:rsidP="006941EE">
      <w:pPr>
        <w:rPr>
          <w:sz w:val="24"/>
        </w:rPr>
        <w:sectPr w:rsidR="006941EE" w:rsidSect="00A7608E">
          <w:pgSz w:w="11910" w:h="16840"/>
          <w:pgMar w:top="1040" w:right="1040" w:bottom="960" w:left="1020" w:header="0" w:footer="776" w:gutter="0"/>
          <w:cols w:space="720"/>
        </w:sectPr>
      </w:pPr>
    </w:p>
    <w:p w14:paraId="62E14AF6" w14:textId="77777777" w:rsidR="006941EE" w:rsidRDefault="006941EE" w:rsidP="006941EE">
      <w:pPr>
        <w:pStyle w:val="ListParagraph"/>
        <w:widowControl w:val="0"/>
        <w:numPr>
          <w:ilvl w:val="1"/>
          <w:numId w:val="18"/>
        </w:numPr>
        <w:tabs>
          <w:tab w:val="left" w:pos="834"/>
        </w:tabs>
        <w:autoSpaceDE w:val="0"/>
        <w:autoSpaceDN w:val="0"/>
        <w:spacing w:before="75" w:after="0" w:line="240" w:lineRule="auto"/>
        <w:ind w:left="833" w:right="926"/>
        <w:contextualSpacing w:val="0"/>
        <w:rPr>
          <w:sz w:val="24"/>
        </w:rPr>
      </w:pPr>
      <w:r>
        <w:rPr>
          <w:sz w:val="24"/>
        </w:rPr>
        <w:lastRenderedPageBreak/>
        <w:t>Professional contract management guidance is developed, or identified from external sources, and made available to contract</w:t>
      </w:r>
      <w:r>
        <w:rPr>
          <w:spacing w:val="-11"/>
          <w:sz w:val="24"/>
        </w:rPr>
        <w:t xml:space="preserve"> </w:t>
      </w:r>
      <w:r>
        <w:rPr>
          <w:sz w:val="24"/>
        </w:rPr>
        <w:t>managers.</w:t>
      </w:r>
    </w:p>
    <w:p w14:paraId="7805A5CB" w14:textId="77777777" w:rsidR="006941EE" w:rsidRDefault="006941EE" w:rsidP="006941EE">
      <w:pPr>
        <w:pStyle w:val="BodyText"/>
        <w:spacing w:before="10"/>
        <w:rPr>
          <w:sz w:val="20"/>
        </w:rPr>
      </w:pPr>
    </w:p>
    <w:p w14:paraId="0BB64234"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871"/>
        <w:contextualSpacing w:val="0"/>
        <w:rPr>
          <w:sz w:val="24"/>
        </w:rPr>
      </w:pPr>
      <w:r>
        <w:rPr>
          <w:sz w:val="24"/>
        </w:rPr>
        <w:t>An appropriate assessment to ensure extremist organisations are not funded through the subcontracting Department of Education</w:t>
      </w:r>
      <w:r>
        <w:rPr>
          <w:spacing w:val="-5"/>
          <w:sz w:val="24"/>
        </w:rPr>
        <w:t xml:space="preserve"> </w:t>
      </w:r>
      <w:r>
        <w:rPr>
          <w:sz w:val="24"/>
        </w:rPr>
        <w:t>funding.</w:t>
      </w:r>
    </w:p>
    <w:p w14:paraId="6A167644" w14:textId="77777777" w:rsidR="006941EE" w:rsidRDefault="006941EE" w:rsidP="006941EE">
      <w:pPr>
        <w:rPr>
          <w:sz w:val="24"/>
        </w:rPr>
        <w:sectPr w:rsidR="006941EE" w:rsidSect="00A7608E">
          <w:pgSz w:w="11910" w:h="16840"/>
          <w:pgMar w:top="1040" w:right="1040" w:bottom="960" w:left="1020" w:header="0" w:footer="776" w:gutter="0"/>
          <w:cols w:space="720"/>
        </w:sectPr>
      </w:pPr>
    </w:p>
    <w:p w14:paraId="7AC40370" w14:textId="77777777" w:rsidR="006941EE" w:rsidRDefault="006941EE" w:rsidP="006941EE">
      <w:pPr>
        <w:pStyle w:val="Heading1"/>
        <w:keepNext w:val="0"/>
        <w:keepLines w:val="0"/>
        <w:widowControl w:val="0"/>
        <w:numPr>
          <w:ilvl w:val="0"/>
          <w:numId w:val="18"/>
        </w:numPr>
        <w:tabs>
          <w:tab w:val="left" w:pos="474"/>
        </w:tabs>
        <w:autoSpaceDE w:val="0"/>
        <w:autoSpaceDN w:val="0"/>
        <w:spacing w:before="75" w:line="240" w:lineRule="auto"/>
        <w:ind w:hanging="362"/>
      </w:pPr>
      <w:bookmarkStart w:id="5" w:name="_TOC_250009"/>
      <w:bookmarkEnd w:id="5"/>
      <w:r>
        <w:rPr>
          <w:color w:val="0F4F75"/>
        </w:rPr>
        <w:lastRenderedPageBreak/>
        <w:t>People</w:t>
      </w:r>
    </w:p>
    <w:p w14:paraId="4CC4DFBD" w14:textId="77777777" w:rsidR="006941EE" w:rsidRDefault="006941EE" w:rsidP="006941EE">
      <w:pPr>
        <w:pStyle w:val="BodyText"/>
        <w:spacing w:before="241"/>
        <w:ind w:left="112" w:right="392"/>
      </w:pPr>
      <w:r>
        <w:t>In ensuring the right people are in place to carry out the contract management activities, the provider must demonstrate:</w:t>
      </w:r>
    </w:p>
    <w:p w14:paraId="37C83FD6" w14:textId="77777777" w:rsidR="006941EE" w:rsidRDefault="006941EE" w:rsidP="006941EE">
      <w:pPr>
        <w:pStyle w:val="BodyText"/>
        <w:spacing w:before="10"/>
        <w:rPr>
          <w:sz w:val="20"/>
        </w:rPr>
      </w:pPr>
    </w:p>
    <w:p w14:paraId="1845B6FB"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278"/>
        <w:contextualSpacing w:val="0"/>
        <w:rPr>
          <w:sz w:val="24"/>
        </w:rPr>
      </w:pPr>
      <w:r>
        <w:rPr>
          <w:sz w:val="24"/>
        </w:rPr>
        <w:t>That either your business continuity / contingency plan incorporates the role of the contract manager(s)/ those with contract management responsibility (ideally through involvement during the tendering/contract award processes) or you ensure continuity by ensuring there are appropriate handover / information</w:t>
      </w:r>
      <w:r>
        <w:rPr>
          <w:spacing w:val="-39"/>
          <w:sz w:val="24"/>
        </w:rPr>
        <w:t xml:space="preserve"> </w:t>
      </w:r>
      <w:r>
        <w:rPr>
          <w:sz w:val="24"/>
        </w:rPr>
        <w:t>sharing procedures in</w:t>
      </w:r>
      <w:r>
        <w:rPr>
          <w:spacing w:val="-3"/>
          <w:sz w:val="24"/>
        </w:rPr>
        <w:t xml:space="preserve"> </w:t>
      </w:r>
      <w:r>
        <w:rPr>
          <w:sz w:val="24"/>
        </w:rPr>
        <w:t>place.</w:t>
      </w:r>
    </w:p>
    <w:p w14:paraId="4589848A" w14:textId="77777777" w:rsidR="006941EE" w:rsidRDefault="006941EE" w:rsidP="006941EE">
      <w:pPr>
        <w:pStyle w:val="BodyText"/>
        <w:spacing w:before="10"/>
        <w:rPr>
          <w:sz w:val="20"/>
        </w:rPr>
      </w:pPr>
    </w:p>
    <w:p w14:paraId="47AE754E"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18"/>
        <w:contextualSpacing w:val="0"/>
        <w:rPr>
          <w:sz w:val="24"/>
        </w:rPr>
      </w:pPr>
      <w:r>
        <w:rPr>
          <w:sz w:val="24"/>
        </w:rPr>
        <w:t>The contract manager(s) have a detailed knowledge of the contract and other relevant issues, such as service level agreements, requirements in line with</w:t>
      </w:r>
      <w:r>
        <w:rPr>
          <w:spacing w:val="-38"/>
          <w:sz w:val="24"/>
        </w:rPr>
        <w:t xml:space="preserve"> </w:t>
      </w:r>
      <w:r>
        <w:rPr>
          <w:sz w:val="24"/>
        </w:rPr>
        <w:t>ESFA contract and funding rules and current subcontractor</w:t>
      </w:r>
      <w:r>
        <w:rPr>
          <w:spacing w:val="-9"/>
          <w:sz w:val="24"/>
        </w:rPr>
        <w:t xml:space="preserve"> </w:t>
      </w:r>
      <w:r>
        <w:rPr>
          <w:sz w:val="24"/>
        </w:rPr>
        <w:t>performance.</w:t>
      </w:r>
    </w:p>
    <w:p w14:paraId="0AD6FCA4" w14:textId="77777777" w:rsidR="006941EE" w:rsidRDefault="006941EE" w:rsidP="006941EE">
      <w:pPr>
        <w:pStyle w:val="BodyText"/>
        <w:spacing w:before="11"/>
        <w:rPr>
          <w:sz w:val="20"/>
        </w:rPr>
      </w:pPr>
    </w:p>
    <w:p w14:paraId="74A6E81B"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83"/>
        <w:contextualSpacing w:val="0"/>
        <w:rPr>
          <w:sz w:val="24"/>
        </w:rPr>
      </w:pPr>
      <w:r>
        <w:rPr>
          <w:sz w:val="24"/>
        </w:rPr>
        <w:t>The contract manager(s) have the appropriate skills (both specific contract management skills and more general commercial awareness and expertise), with access to relevant training and development. Experienced contract managers are utilised on key</w:t>
      </w:r>
      <w:r>
        <w:rPr>
          <w:spacing w:val="-1"/>
          <w:sz w:val="24"/>
        </w:rPr>
        <w:t xml:space="preserve"> </w:t>
      </w:r>
      <w:r>
        <w:rPr>
          <w:sz w:val="24"/>
        </w:rPr>
        <w:t>contracts.</w:t>
      </w:r>
    </w:p>
    <w:p w14:paraId="42234D6B" w14:textId="77777777" w:rsidR="006941EE" w:rsidRDefault="006941EE" w:rsidP="006941EE">
      <w:pPr>
        <w:pStyle w:val="BodyText"/>
        <w:spacing w:before="10"/>
        <w:rPr>
          <w:sz w:val="20"/>
        </w:rPr>
      </w:pPr>
    </w:p>
    <w:p w14:paraId="5F5DD437"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59"/>
        <w:contextualSpacing w:val="0"/>
        <w:rPr>
          <w:sz w:val="24"/>
        </w:rPr>
      </w:pPr>
      <w:r>
        <w:rPr>
          <w:sz w:val="24"/>
        </w:rPr>
        <w:t>Contract manager(s) have accurate job descriptions, roles are positioned at an appropriate level and salary, and there is a career path for contract management staff.</w:t>
      </w:r>
    </w:p>
    <w:p w14:paraId="2DA333B9" w14:textId="77777777" w:rsidR="006941EE" w:rsidRDefault="006941EE" w:rsidP="006941EE">
      <w:pPr>
        <w:pStyle w:val="BodyText"/>
        <w:spacing w:before="10"/>
        <w:rPr>
          <w:sz w:val="20"/>
        </w:rPr>
      </w:pPr>
    </w:p>
    <w:p w14:paraId="69040FB4"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1397"/>
        <w:contextualSpacing w:val="0"/>
        <w:rPr>
          <w:sz w:val="24"/>
        </w:rPr>
      </w:pPr>
      <w:r>
        <w:rPr>
          <w:sz w:val="24"/>
        </w:rPr>
        <w:t>Contract manager(s) have clear objectives and reporting lines, and their performance is managed through reviews and</w:t>
      </w:r>
      <w:r>
        <w:rPr>
          <w:spacing w:val="-7"/>
          <w:sz w:val="24"/>
        </w:rPr>
        <w:t xml:space="preserve"> </w:t>
      </w:r>
      <w:r>
        <w:rPr>
          <w:sz w:val="24"/>
        </w:rPr>
        <w:t>appraisals.</w:t>
      </w:r>
    </w:p>
    <w:p w14:paraId="5BDB61E0" w14:textId="77777777" w:rsidR="006941EE" w:rsidRDefault="006941EE" w:rsidP="006941EE">
      <w:pPr>
        <w:pStyle w:val="BodyText"/>
        <w:spacing w:before="10"/>
        <w:rPr>
          <w:sz w:val="20"/>
        </w:rPr>
      </w:pPr>
    </w:p>
    <w:p w14:paraId="0A46C763"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803"/>
        <w:contextualSpacing w:val="0"/>
        <w:rPr>
          <w:sz w:val="24"/>
        </w:rPr>
      </w:pPr>
      <w:r>
        <w:rPr>
          <w:sz w:val="24"/>
        </w:rPr>
        <w:t>The contract manager(s) have appropriate delegated authority to manage the contract</w:t>
      </w:r>
      <w:r>
        <w:rPr>
          <w:spacing w:val="-3"/>
          <w:sz w:val="24"/>
        </w:rPr>
        <w:t xml:space="preserve"> </w:t>
      </w:r>
      <w:r>
        <w:rPr>
          <w:sz w:val="24"/>
        </w:rPr>
        <w:t>effectively.</w:t>
      </w:r>
    </w:p>
    <w:p w14:paraId="585BE1DA" w14:textId="77777777" w:rsidR="006941EE" w:rsidRDefault="006941EE" w:rsidP="006941EE">
      <w:pPr>
        <w:rPr>
          <w:sz w:val="24"/>
        </w:rPr>
        <w:sectPr w:rsidR="006941EE" w:rsidSect="00A7608E">
          <w:pgSz w:w="11910" w:h="16840"/>
          <w:pgMar w:top="1040" w:right="1040" w:bottom="960" w:left="1020" w:header="0" w:footer="776" w:gutter="0"/>
          <w:cols w:space="720"/>
        </w:sectPr>
      </w:pPr>
    </w:p>
    <w:p w14:paraId="57F44D92" w14:textId="77777777" w:rsidR="006941EE" w:rsidRDefault="006941EE" w:rsidP="006941EE">
      <w:pPr>
        <w:pStyle w:val="Heading1"/>
        <w:keepNext w:val="0"/>
        <w:keepLines w:val="0"/>
        <w:widowControl w:val="0"/>
        <w:numPr>
          <w:ilvl w:val="0"/>
          <w:numId w:val="18"/>
        </w:numPr>
        <w:tabs>
          <w:tab w:val="left" w:pos="474"/>
        </w:tabs>
        <w:autoSpaceDE w:val="0"/>
        <w:autoSpaceDN w:val="0"/>
        <w:spacing w:before="75" w:line="240" w:lineRule="auto"/>
        <w:ind w:hanging="362"/>
      </w:pPr>
      <w:bookmarkStart w:id="6" w:name="_TOC_250008"/>
      <w:bookmarkEnd w:id="6"/>
      <w:r>
        <w:rPr>
          <w:color w:val="0F4F75"/>
        </w:rPr>
        <w:lastRenderedPageBreak/>
        <w:t>Administration</w:t>
      </w:r>
    </w:p>
    <w:p w14:paraId="5250D106" w14:textId="77777777" w:rsidR="006941EE" w:rsidRDefault="006941EE" w:rsidP="006941EE">
      <w:pPr>
        <w:pStyle w:val="BodyText"/>
        <w:spacing w:before="241"/>
        <w:ind w:left="112" w:right="793"/>
      </w:pPr>
      <w:r>
        <w:t>In managing the contract(s) and the timetable for making key decisions, the provider must demonstrate that:</w:t>
      </w:r>
    </w:p>
    <w:p w14:paraId="016FBE1B" w14:textId="77777777" w:rsidR="006941EE" w:rsidRDefault="006941EE" w:rsidP="006941EE">
      <w:pPr>
        <w:pStyle w:val="BodyText"/>
        <w:spacing w:before="10"/>
        <w:rPr>
          <w:sz w:val="20"/>
        </w:rPr>
      </w:pPr>
    </w:p>
    <w:p w14:paraId="36DCCD01"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20"/>
        <w:contextualSpacing w:val="0"/>
        <w:rPr>
          <w:sz w:val="24"/>
        </w:rPr>
      </w:pPr>
      <w:r>
        <w:rPr>
          <w:sz w:val="24"/>
        </w:rPr>
        <w:t>Signed contracts are stored and logged and are easily accessible when required; for complex contracts, a summary and/or contract operations guide should be produced.</w:t>
      </w:r>
    </w:p>
    <w:p w14:paraId="4FB165DF" w14:textId="77777777" w:rsidR="006941EE" w:rsidRDefault="006941EE" w:rsidP="006941EE">
      <w:pPr>
        <w:pStyle w:val="BodyText"/>
        <w:spacing w:before="10"/>
        <w:rPr>
          <w:sz w:val="20"/>
        </w:rPr>
      </w:pPr>
    </w:p>
    <w:p w14:paraId="639DFE64"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277"/>
        <w:contextualSpacing w:val="0"/>
        <w:rPr>
          <w:sz w:val="24"/>
        </w:rPr>
      </w:pPr>
      <w:r>
        <w:rPr>
          <w:sz w:val="24"/>
        </w:rPr>
        <w:t>Key contractual information is recorded appropriately to allow, for example; search capability; documentation of up-to-date contract information; and key</w:t>
      </w:r>
      <w:r>
        <w:rPr>
          <w:spacing w:val="-18"/>
          <w:sz w:val="24"/>
        </w:rPr>
        <w:t xml:space="preserve"> </w:t>
      </w:r>
      <w:r>
        <w:rPr>
          <w:sz w:val="24"/>
        </w:rPr>
        <w:t>dates.</w:t>
      </w:r>
    </w:p>
    <w:p w14:paraId="3F352F20" w14:textId="77777777" w:rsidR="006941EE" w:rsidRDefault="006941EE" w:rsidP="006941EE">
      <w:pPr>
        <w:pStyle w:val="BodyText"/>
        <w:spacing w:before="10"/>
        <w:rPr>
          <w:sz w:val="20"/>
        </w:rPr>
      </w:pPr>
    </w:p>
    <w:p w14:paraId="765DAE92"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hanging="361"/>
        <w:contextualSpacing w:val="0"/>
        <w:rPr>
          <w:sz w:val="24"/>
        </w:rPr>
      </w:pPr>
      <w:r>
        <w:rPr>
          <w:sz w:val="24"/>
        </w:rPr>
        <w:t>There are mechanisms in place for identifying key contract ‘trigger points’, such</w:t>
      </w:r>
      <w:r>
        <w:rPr>
          <w:spacing w:val="-27"/>
          <w:sz w:val="24"/>
        </w:rPr>
        <w:t xml:space="preserve"> </w:t>
      </w:r>
      <w:r>
        <w:rPr>
          <w:sz w:val="24"/>
        </w:rPr>
        <w:t>as</w:t>
      </w:r>
    </w:p>
    <w:p w14:paraId="02FF0FFA" w14:textId="77777777" w:rsidR="006941EE" w:rsidRDefault="006941EE" w:rsidP="006941EE">
      <w:pPr>
        <w:pStyle w:val="BodyText"/>
        <w:ind w:left="833"/>
      </w:pPr>
      <w:r>
        <w:t>notice periods.</w:t>
      </w:r>
    </w:p>
    <w:p w14:paraId="0E14A3E5" w14:textId="77777777" w:rsidR="006941EE" w:rsidRDefault="006941EE" w:rsidP="006941EE">
      <w:pPr>
        <w:pStyle w:val="BodyText"/>
        <w:spacing w:before="11"/>
        <w:rPr>
          <w:sz w:val="20"/>
        </w:rPr>
      </w:pPr>
    </w:p>
    <w:p w14:paraId="48E032E7"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64"/>
        <w:contextualSpacing w:val="0"/>
        <w:rPr>
          <w:sz w:val="24"/>
        </w:rPr>
      </w:pPr>
      <w:r>
        <w:rPr>
          <w:sz w:val="24"/>
        </w:rPr>
        <w:t>There is schedule of regular as well as ad hoc reporting of contract</w:t>
      </w:r>
      <w:r>
        <w:rPr>
          <w:spacing w:val="-32"/>
          <w:sz w:val="24"/>
        </w:rPr>
        <w:t xml:space="preserve"> </w:t>
      </w:r>
      <w:r>
        <w:rPr>
          <w:sz w:val="24"/>
        </w:rPr>
        <w:t>management information and retention of appropriate documentation such as, minutes of contract meetings, reviews of teaching and learning</w:t>
      </w:r>
      <w:r>
        <w:rPr>
          <w:spacing w:val="-11"/>
          <w:sz w:val="24"/>
        </w:rPr>
        <w:t xml:space="preserve"> </w:t>
      </w:r>
      <w:r>
        <w:rPr>
          <w:sz w:val="24"/>
        </w:rPr>
        <w:t>etc.</w:t>
      </w:r>
    </w:p>
    <w:p w14:paraId="5C0DA6ED" w14:textId="77777777" w:rsidR="006941EE" w:rsidRDefault="006941EE" w:rsidP="006941EE">
      <w:pPr>
        <w:pStyle w:val="BodyText"/>
        <w:spacing w:before="10"/>
        <w:rPr>
          <w:sz w:val="20"/>
        </w:rPr>
      </w:pPr>
    </w:p>
    <w:p w14:paraId="12C9B83A"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30"/>
        <w:contextualSpacing w:val="0"/>
        <w:rPr>
          <w:sz w:val="24"/>
        </w:rPr>
      </w:pPr>
      <w:r>
        <w:rPr>
          <w:sz w:val="24"/>
        </w:rPr>
        <w:t>There are appropriate processes and procedures in place to ensure that contracts are closed and/or terminated</w:t>
      </w:r>
      <w:r>
        <w:rPr>
          <w:spacing w:val="-1"/>
          <w:sz w:val="24"/>
        </w:rPr>
        <w:t xml:space="preserve"> </w:t>
      </w:r>
      <w:r>
        <w:rPr>
          <w:sz w:val="24"/>
        </w:rPr>
        <w:t>efficiently.</w:t>
      </w:r>
    </w:p>
    <w:p w14:paraId="5FAD52A6" w14:textId="77777777" w:rsidR="006941EE" w:rsidRDefault="006941EE" w:rsidP="006941EE">
      <w:pPr>
        <w:pStyle w:val="BodyText"/>
        <w:spacing w:before="10"/>
        <w:rPr>
          <w:sz w:val="20"/>
        </w:rPr>
      </w:pPr>
    </w:p>
    <w:p w14:paraId="17489262"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754"/>
        <w:contextualSpacing w:val="0"/>
        <w:rPr>
          <w:sz w:val="24"/>
        </w:rPr>
      </w:pPr>
      <w:r>
        <w:rPr>
          <w:sz w:val="24"/>
        </w:rPr>
        <w:t>The provider has considered the cost of contract management activities to the subcontractor, and the cost is proportionate to the contract size and</w:t>
      </w:r>
      <w:r>
        <w:rPr>
          <w:spacing w:val="-23"/>
          <w:sz w:val="24"/>
        </w:rPr>
        <w:t xml:space="preserve"> </w:t>
      </w:r>
      <w:r>
        <w:rPr>
          <w:sz w:val="24"/>
        </w:rPr>
        <w:t>risk.</w:t>
      </w:r>
    </w:p>
    <w:p w14:paraId="5624788A" w14:textId="77777777" w:rsidR="006941EE" w:rsidRDefault="006941EE" w:rsidP="006941EE">
      <w:pPr>
        <w:rPr>
          <w:sz w:val="24"/>
        </w:rPr>
        <w:sectPr w:rsidR="006941EE" w:rsidSect="00A7608E">
          <w:pgSz w:w="11910" w:h="16840"/>
          <w:pgMar w:top="1040" w:right="1040" w:bottom="960" w:left="1020" w:header="0" w:footer="776" w:gutter="0"/>
          <w:cols w:space="720"/>
        </w:sectPr>
      </w:pPr>
    </w:p>
    <w:p w14:paraId="50313626" w14:textId="77777777" w:rsidR="006941EE" w:rsidRDefault="006941EE" w:rsidP="006941EE">
      <w:pPr>
        <w:pStyle w:val="Heading1"/>
        <w:keepNext w:val="0"/>
        <w:keepLines w:val="0"/>
        <w:widowControl w:val="0"/>
        <w:numPr>
          <w:ilvl w:val="0"/>
          <w:numId w:val="18"/>
        </w:numPr>
        <w:tabs>
          <w:tab w:val="left" w:pos="474"/>
        </w:tabs>
        <w:autoSpaceDE w:val="0"/>
        <w:autoSpaceDN w:val="0"/>
        <w:spacing w:before="75" w:line="240" w:lineRule="auto"/>
        <w:ind w:hanging="362"/>
      </w:pPr>
      <w:bookmarkStart w:id="7" w:name="_TOC_250007"/>
      <w:bookmarkEnd w:id="7"/>
      <w:r>
        <w:rPr>
          <w:color w:val="0F4F75"/>
        </w:rPr>
        <w:lastRenderedPageBreak/>
        <w:t>Managing relationships</w:t>
      </w:r>
    </w:p>
    <w:p w14:paraId="0AF73EDA" w14:textId="77777777" w:rsidR="006941EE" w:rsidRDefault="006941EE" w:rsidP="006941EE">
      <w:pPr>
        <w:pStyle w:val="BodyText"/>
        <w:spacing w:before="241"/>
        <w:ind w:left="112" w:right="606"/>
      </w:pPr>
      <w:r>
        <w:t>The provider must have appropriate procedures in place to manage their relationships with subcontractors and be able to demonstrate that:</w:t>
      </w:r>
    </w:p>
    <w:p w14:paraId="4A32EC04" w14:textId="77777777" w:rsidR="006941EE" w:rsidRDefault="006941EE" w:rsidP="006941EE">
      <w:pPr>
        <w:pStyle w:val="BodyText"/>
        <w:spacing w:before="10"/>
        <w:rPr>
          <w:sz w:val="20"/>
        </w:rPr>
      </w:pPr>
    </w:p>
    <w:p w14:paraId="1E951F7C"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26"/>
        <w:contextualSpacing w:val="0"/>
        <w:rPr>
          <w:sz w:val="24"/>
        </w:rPr>
      </w:pPr>
      <w:r>
        <w:rPr>
          <w:sz w:val="24"/>
        </w:rPr>
        <w:t>Proactive conversations and/or independent checks are undertaken in relation the subcontractor at least on an annual basis which cover and document as a minimum, the</w:t>
      </w:r>
      <w:r>
        <w:rPr>
          <w:spacing w:val="-1"/>
          <w:sz w:val="24"/>
        </w:rPr>
        <w:t xml:space="preserve"> </w:t>
      </w:r>
      <w:r>
        <w:rPr>
          <w:sz w:val="24"/>
        </w:rPr>
        <w:t>subcontractor(s):</w:t>
      </w:r>
    </w:p>
    <w:p w14:paraId="59E59D34" w14:textId="77777777" w:rsidR="006941EE" w:rsidRDefault="006941EE" w:rsidP="006941EE">
      <w:pPr>
        <w:pStyle w:val="BodyText"/>
        <w:spacing w:before="10"/>
        <w:rPr>
          <w:sz w:val="20"/>
        </w:rPr>
      </w:pPr>
    </w:p>
    <w:p w14:paraId="58CCC6D4" w14:textId="77777777" w:rsidR="006941EE" w:rsidRDefault="006941EE" w:rsidP="006941EE">
      <w:pPr>
        <w:pStyle w:val="ListParagraph"/>
        <w:widowControl w:val="0"/>
        <w:numPr>
          <w:ilvl w:val="0"/>
          <w:numId w:val="16"/>
        </w:numPr>
        <w:tabs>
          <w:tab w:val="left" w:pos="1546"/>
        </w:tabs>
        <w:autoSpaceDE w:val="0"/>
        <w:autoSpaceDN w:val="0"/>
        <w:spacing w:after="0" w:line="240" w:lineRule="auto"/>
        <w:ind w:right="698"/>
        <w:contextualSpacing w:val="0"/>
        <w:rPr>
          <w:sz w:val="24"/>
        </w:rPr>
      </w:pPr>
      <w:r>
        <w:rPr>
          <w:sz w:val="24"/>
        </w:rPr>
        <w:t>current ownership and person of significant control. Notification must be made to ESFA where this has changed from a previous</w:t>
      </w:r>
      <w:r>
        <w:rPr>
          <w:spacing w:val="-12"/>
          <w:sz w:val="24"/>
        </w:rPr>
        <w:t xml:space="preserve"> </w:t>
      </w:r>
      <w:r>
        <w:rPr>
          <w:sz w:val="24"/>
        </w:rPr>
        <w:t>year.</w:t>
      </w:r>
    </w:p>
    <w:p w14:paraId="42F4A548" w14:textId="77777777" w:rsidR="006941EE" w:rsidRDefault="006941EE" w:rsidP="006941EE">
      <w:pPr>
        <w:pStyle w:val="ListParagraph"/>
        <w:widowControl w:val="0"/>
        <w:numPr>
          <w:ilvl w:val="0"/>
          <w:numId w:val="16"/>
        </w:numPr>
        <w:tabs>
          <w:tab w:val="left" w:pos="1546"/>
        </w:tabs>
        <w:autoSpaceDE w:val="0"/>
        <w:autoSpaceDN w:val="0"/>
        <w:spacing w:after="0" w:line="240" w:lineRule="auto"/>
        <w:contextualSpacing w:val="0"/>
        <w:rPr>
          <w:sz w:val="24"/>
        </w:rPr>
      </w:pPr>
      <w:r>
        <w:rPr>
          <w:sz w:val="24"/>
        </w:rPr>
        <w:t>current/ latest financial health</w:t>
      </w:r>
      <w:r>
        <w:rPr>
          <w:spacing w:val="-4"/>
          <w:sz w:val="24"/>
        </w:rPr>
        <w:t xml:space="preserve"> </w:t>
      </w:r>
      <w:r>
        <w:rPr>
          <w:sz w:val="24"/>
        </w:rPr>
        <w:t>position.</w:t>
      </w:r>
    </w:p>
    <w:p w14:paraId="3E759512" w14:textId="77777777" w:rsidR="006941EE" w:rsidRDefault="006941EE" w:rsidP="006941EE">
      <w:pPr>
        <w:pStyle w:val="ListParagraph"/>
        <w:widowControl w:val="0"/>
        <w:numPr>
          <w:ilvl w:val="0"/>
          <w:numId w:val="16"/>
        </w:numPr>
        <w:tabs>
          <w:tab w:val="left" w:pos="1546"/>
        </w:tabs>
        <w:autoSpaceDE w:val="0"/>
        <w:autoSpaceDN w:val="0"/>
        <w:spacing w:before="5" w:after="0" w:line="235" w:lineRule="auto"/>
        <w:ind w:right="1122"/>
        <w:contextualSpacing w:val="0"/>
        <w:rPr>
          <w:sz w:val="24"/>
        </w:rPr>
      </w:pPr>
      <w:r>
        <w:rPr>
          <w:sz w:val="24"/>
        </w:rPr>
        <w:t>a review of learning activity delivered, including compliance with the relevant funding rules for each</w:t>
      </w:r>
      <w:r>
        <w:rPr>
          <w:spacing w:val="-6"/>
          <w:sz w:val="24"/>
        </w:rPr>
        <w:t xml:space="preserve"> </w:t>
      </w:r>
      <w:r>
        <w:rPr>
          <w:sz w:val="24"/>
        </w:rPr>
        <w:t>programme</w:t>
      </w:r>
      <w:r>
        <w:rPr>
          <w:position w:val="8"/>
          <w:sz w:val="16"/>
        </w:rPr>
        <w:t>2</w:t>
      </w:r>
      <w:r>
        <w:rPr>
          <w:sz w:val="24"/>
        </w:rPr>
        <w:t>.</w:t>
      </w:r>
    </w:p>
    <w:p w14:paraId="3FE4AC2E" w14:textId="77777777" w:rsidR="006941EE" w:rsidRDefault="006941EE" w:rsidP="006941EE">
      <w:pPr>
        <w:pStyle w:val="ListParagraph"/>
        <w:widowControl w:val="0"/>
        <w:numPr>
          <w:ilvl w:val="0"/>
          <w:numId w:val="16"/>
        </w:numPr>
        <w:tabs>
          <w:tab w:val="left" w:pos="1546"/>
        </w:tabs>
        <w:autoSpaceDE w:val="0"/>
        <w:autoSpaceDN w:val="0"/>
        <w:spacing w:before="2" w:after="0" w:line="240" w:lineRule="auto"/>
        <w:ind w:right="1147"/>
        <w:contextualSpacing w:val="0"/>
        <w:rPr>
          <w:sz w:val="24"/>
        </w:rPr>
      </w:pPr>
      <w:r>
        <w:rPr>
          <w:sz w:val="24"/>
        </w:rPr>
        <w:t>the subcontractor(s) business continuity / contingency plan remains relevant or has been updated</w:t>
      </w:r>
      <w:r>
        <w:rPr>
          <w:spacing w:val="-11"/>
          <w:sz w:val="24"/>
        </w:rPr>
        <w:t xml:space="preserve"> </w:t>
      </w:r>
      <w:r>
        <w:rPr>
          <w:sz w:val="24"/>
        </w:rPr>
        <w:t>appropriately.</w:t>
      </w:r>
    </w:p>
    <w:p w14:paraId="42AE35FB" w14:textId="77777777" w:rsidR="006941EE" w:rsidRDefault="006941EE" w:rsidP="006941EE">
      <w:pPr>
        <w:pStyle w:val="BodyText"/>
      </w:pPr>
    </w:p>
    <w:p w14:paraId="3059ACC9"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73"/>
        <w:contextualSpacing w:val="0"/>
        <w:rPr>
          <w:sz w:val="24"/>
        </w:rPr>
      </w:pPr>
      <w:r>
        <w:rPr>
          <w:sz w:val="24"/>
        </w:rPr>
        <w:t>Their contract manager understands their own role and has clear visibility of</w:t>
      </w:r>
      <w:r>
        <w:rPr>
          <w:spacing w:val="-36"/>
          <w:sz w:val="24"/>
        </w:rPr>
        <w:t xml:space="preserve"> </w:t>
      </w:r>
      <w:r>
        <w:rPr>
          <w:sz w:val="24"/>
        </w:rPr>
        <w:t>the roles and responsibilities of staff on the subcontractor</w:t>
      </w:r>
      <w:r>
        <w:rPr>
          <w:spacing w:val="-8"/>
          <w:sz w:val="24"/>
        </w:rPr>
        <w:t xml:space="preserve"> </w:t>
      </w:r>
      <w:r>
        <w:rPr>
          <w:sz w:val="24"/>
        </w:rPr>
        <w:t>side.</w:t>
      </w:r>
    </w:p>
    <w:p w14:paraId="7B46633F" w14:textId="77777777" w:rsidR="006941EE" w:rsidRDefault="006941EE" w:rsidP="006941EE">
      <w:pPr>
        <w:pStyle w:val="BodyText"/>
        <w:spacing w:before="10"/>
        <w:rPr>
          <w:sz w:val="20"/>
        </w:rPr>
      </w:pPr>
    </w:p>
    <w:p w14:paraId="565A6BFC"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hanging="361"/>
        <w:contextualSpacing w:val="0"/>
        <w:rPr>
          <w:sz w:val="24"/>
        </w:rPr>
      </w:pPr>
      <w:r>
        <w:rPr>
          <w:sz w:val="24"/>
        </w:rPr>
        <w:t>The respective responsibilities of the contract manager and the subcontractor</w:t>
      </w:r>
      <w:r>
        <w:rPr>
          <w:spacing w:val="-15"/>
          <w:sz w:val="24"/>
        </w:rPr>
        <w:t xml:space="preserve"> </w:t>
      </w:r>
      <w:r>
        <w:rPr>
          <w:sz w:val="24"/>
        </w:rPr>
        <w:t>are</w:t>
      </w:r>
    </w:p>
    <w:p w14:paraId="65ED8560" w14:textId="77777777" w:rsidR="006941EE" w:rsidRDefault="006941EE" w:rsidP="006941EE">
      <w:pPr>
        <w:pStyle w:val="BodyText"/>
        <w:ind w:left="833"/>
      </w:pPr>
      <w:r>
        <w:t>clear, and potentially defined in a ‘joint statement of intent’ or similar document.</w:t>
      </w:r>
    </w:p>
    <w:p w14:paraId="6422A41E" w14:textId="77777777" w:rsidR="006941EE" w:rsidRDefault="006941EE" w:rsidP="006941EE">
      <w:pPr>
        <w:pStyle w:val="BodyText"/>
        <w:spacing w:before="10"/>
        <w:rPr>
          <w:sz w:val="20"/>
        </w:rPr>
      </w:pPr>
    </w:p>
    <w:p w14:paraId="1FFEF07C"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862"/>
        <w:contextualSpacing w:val="0"/>
        <w:rPr>
          <w:sz w:val="24"/>
        </w:rPr>
      </w:pPr>
      <w:r>
        <w:rPr>
          <w:sz w:val="24"/>
        </w:rPr>
        <w:t xml:space="preserve">Continuity of key subcontractor staff is desirable (ideally through involvement during the sales process); where this cannot be achieved, there must </w:t>
      </w:r>
      <w:r>
        <w:rPr>
          <w:spacing w:val="4"/>
          <w:sz w:val="24"/>
        </w:rPr>
        <w:t xml:space="preserve">be </w:t>
      </w:r>
      <w:r>
        <w:rPr>
          <w:sz w:val="24"/>
        </w:rPr>
        <w:t>a handover from the staff responsible for the tendering</w:t>
      </w:r>
      <w:r>
        <w:rPr>
          <w:spacing w:val="-10"/>
          <w:sz w:val="24"/>
        </w:rPr>
        <w:t xml:space="preserve"> </w:t>
      </w:r>
      <w:r>
        <w:rPr>
          <w:sz w:val="24"/>
        </w:rPr>
        <w:t>process.</w:t>
      </w:r>
    </w:p>
    <w:p w14:paraId="125C99DE" w14:textId="77777777" w:rsidR="006941EE" w:rsidRDefault="006941EE" w:rsidP="006941EE">
      <w:pPr>
        <w:pStyle w:val="BodyText"/>
        <w:spacing w:before="10"/>
        <w:rPr>
          <w:sz w:val="20"/>
        </w:rPr>
      </w:pPr>
    </w:p>
    <w:p w14:paraId="0587A4CE"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84"/>
        <w:contextualSpacing w:val="0"/>
        <w:rPr>
          <w:sz w:val="24"/>
        </w:rPr>
      </w:pPr>
      <w:r>
        <w:rPr>
          <w:sz w:val="24"/>
        </w:rPr>
        <w:t>Both regular structured and informal communication routes between the contract manager and subcontractor are open and used; customer and subcontractor</w:t>
      </w:r>
      <w:r>
        <w:rPr>
          <w:spacing w:val="-31"/>
          <w:sz w:val="24"/>
        </w:rPr>
        <w:t xml:space="preserve"> </w:t>
      </w:r>
      <w:r>
        <w:rPr>
          <w:sz w:val="24"/>
        </w:rPr>
        <w:t>staff are co-located where</w:t>
      </w:r>
      <w:r>
        <w:rPr>
          <w:spacing w:val="-1"/>
          <w:sz w:val="24"/>
        </w:rPr>
        <w:t xml:space="preserve"> </w:t>
      </w:r>
      <w:r>
        <w:rPr>
          <w:sz w:val="24"/>
        </w:rPr>
        <w:t>appropriate.</w:t>
      </w:r>
    </w:p>
    <w:p w14:paraId="3FCA2D6E" w14:textId="77777777" w:rsidR="006941EE" w:rsidRDefault="006941EE" w:rsidP="006941EE">
      <w:pPr>
        <w:pStyle w:val="BodyText"/>
        <w:spacing w:before="11"/>
        <w:rPr>
          <w:sz w:val="20"/>
        </w:rPr>
      </w:pPr>
    </w:p>
    <w:p w14:paraId="4A3DB073"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86"/>
        <w:contextualSpacing w:val="0"/>
        <w:rPr>
          <w:sz w:val="24"/>
        </w:rPr>
      </w:pPr>
      <w:r>
        <w:rPr>
          <w:sz w:val="24"/>
        </w:rPr>
        <w:t>Users are given clear expectations and an understanding of the contract and the services/ performance to be delivered (for example, through newsletters or briefings).</w:t>
      </w:r>
    </w:p>
    <w:p w14:paraId="3BA6FD4D" w14:textId="77777777" w:rsidR="006941EE" w:rsidRDefault="006941EE" w:rsidP="006941EE">
      <w:pPr>
        <w:pStyle w:val="BodyText"/>
        <w:spacing w:before="10"/>
        <w:rPr>
          <w:sz w:val="20"/>
        </w:rPr>
      </w:pPr>
    </w:p>
    <w:p w14:paraId="10503E6E"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277"/>
        <w:contextualSpacing w:val="0"/>
        <w:rPr>
          <w:sz w:val="24"/>
        </w:rPr>
      </w:pPr>
      <w:r>
        <w:rPr>
          <w:sz w:val="24"/>
        </w:rPr>
        <w:t>Communications between the contract manager, subcontractor, and other stakeholders (users of the contract and others such as technical experts) are effective; and stakeholders are involved in contract management processes</w:t>
      </w:r>
      <w:r>
        <w:rPr>
          <w:spacing w:val="-33"/>
          <w:sz w:val="24"/>
        </w:rPr>
        <w:t xml:space="preserve"> </w:t>
      </w:r>
      <w:r>
        <w:rPr>
          <w:sz w:val="24"/>
        </w:rPr>
        <w:t>where appropriate.</w:t>
      </w:r>
    </w:p>
    <w:p w14:paraId="7177B210" w14:textId="77777777" w:rsidR="006941EE" w:rsidRDefault="006941EE" w:rsidP="006941EE">
      <w:pPr>
        <w:pStyle w:val="BodyText"/>
        <w:spacing w:before="10"/>
        <w:rPr>
          <w:sz w:val="20"/>
        </w:rPr>
      </w:pPr>
    </w:p>
    <w:p w14:paraId="17F7012F"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608"/>
        <w:contextualSpacing w:val="0"/>
        <w:rPr>
          <w:sz w:val="24"/>
        </w:rPr>
      </w:pPr>
      <w:r>
        <w:rPr>
          <w:sz w:val="24"/>
        </w:rPr>
        <w:t>Problem resolution processes are well defined and used and are designed to ensure minor problems do not escalate and cause relationship issues; a ‘blame culture’ is avoided (for example, using a ‘relationships charter’ or similar document).</w:t>
      </w:r>
    </w:p>
    <w:p w14:paraId="79F514CE" w14:textId="77777777" w:rsidR="006941EE" w:rsidRDefault="006941EE" w:rsidP="006941EE">
      <w:pPr>
        <w:pStyle w:val="BodyText"/>
        <w:rPr>
          <w:sz w:val="20"/>
        </w:rPr>
      </w:pPr>
    </w:p>
    <w:p w14:paraId="4A2C0D89" w14:textId="77777777" w:rsidR="006941EE" w:rsidRDefault="006941EE" w:rsidP="006941EE">
      <w:pPr>
        <w:pStyle w:val="BodyText"/>
        <w:rPr>
          <w:sz w:val="20"/>
        </w:rPr>
      </w:pPr>
    </w:p>
    <w:p w14:paraId="17100D6D" w14:textId="77777777" w:rsidR="006941EE" w:rsidRDefault="006941EE" w:rsidP="006941EE">
      <w:pPr>
        <w:pStyle w:val="BodyText"/>
        <w:rPr>
          <w:sz w:val="20"/>
        </w:rPr>
      </w:pPr>
    </w:p>
    <w:p w14:paraId="5DDFBB1B" w14:textId="77777777" w:rsidR="006941EE" w:rsidRDefault="006941EE" w:rsidP="006941EE">
      <w:pPr>
        <w:pStyle w:val="BodyText"/>
        <w:spacing w:before="4"/>
        <w:rPr>
          <w:sz w:val="25"/>
        </w:rPr>
      </w:pPr>
      <w:r>
        <w:rPr>
          <w:noProof/>
          <w:lang w:val="en-GB" w:eastAsia="en-GB"/>
        </w:rPr>
        <mc:AlternateContent>
          <mc:Choice Requires="wps">
            <w:drawing>
              <wp:anchor distT="0" distB="0" distL="0" distR="0" simplePos="0" relativeHeight="251658248" behindDoc="1" locked="0" layoutInCell="1" allowOverlap="1" wp14:anchorId="13EC0FAD" wp14:editId="62222CF2">
                <wp:simplePos x="0" y="0"/>
                <wp:positionH relativeFrom="page">
                  <wp:posOffset>719455</wp:posOffset>
                </wp:positionH>
                <wp:positionV relativeFrom="paragraph">
                  <wp:posOffset>213995</wp:posOffset>
                </wp:positionV>
                <wp:extent cx="1829435" cy="1270"/>
                <wp:effectExtent l="5080" t="10160" r="13335" b="762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7621">
                          <a:solidFill>
                            <a:srgbClr val="0D0D0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E880EAC" id="Freeform 12" o:spid="_x0000_s1026" style="position:absolute;margin-left:56.65pt;margin-top:16.85pt;width:144.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" path="m,l2881,e" filled="f" strokecolor="#0d0d0d" strokeweight=".21169mm">
                <v:path arrowok="t" o:connecttype="custom" o:connectlocs="0,0;1829435,0" o:connectangles="0,0"/>
                <w10:wrap type="topAndBottom" anchorx="page"/>
              </v:shape>
            </w:pict>
          </mc:Fallback>
        </mc:AlternateContent>
      </w:r>
    </w:p>
    <w:p w14:paraId="6B19D099" w14:textId="77777777" w:rsidR="006941EE" w:rsidRDefault="006941EE" w:rsidP="006941EE">
      <w:pPr>
        <w:pStyle w:val="BodyText"/>
        <w:rPr>
          <w:sz w:val="20"/>
        </w:rPr>
      </w:pPr>
    </w:p>
    <w:p w14:paraId="58647CF5" w14:textId="77777777" w:rsidR="006941EE" w:rsidRDefault="006941EE" w:rsidP="006941EE">
      <w:pPr>
        <w:pStyle w:val="BodyText"/>
        <w:rPr>
          <w:sz w:val="20"/>
        </w:rPr>
      </w:pPr>
    </w:p>
    <w:p w14:paraId="221ABB1E" w14:textId="77777777" w:rsidR="006941EE" w:rsidRDefault="006941EE" w:rsidP="006941EE">
      <w:pPr>
        <w:pStyle w:val="BodyText"/>
        <w:rPr>
          <w:sz w:val="20"/>
        </w:rPr>
      </w:pPr>
    </w:p>
    <w:p w14:paraId="768927E4" w14:textId="77777777" w:rsidR="006941EE" w:rsidRDefault="006941EE" w:rsidP="006941EE">
      <w:pPr>
        <w:pStyle w:val="BodyText"/>
        <w:rPr>
          <w:sz w:val="12"/>
        </w:rPr>
      </w:pPr>
    </w:p>
    <w:p w14:paraId="06CC464D" w14:textId="77777777" w:rsidR="006941EE" w:rsidRDefault="006941EE" w:rsidP="006941EE">
      <w:pPr>
        <w:spacing w:before="98"/>
        <w:ind w:left="112" w:right="326"/>
        <w:rPr>
          <w:sz w:val="12"/>
        </w:rPr>
      </w:pPr>
      <w:r>
        <w:rPr>
          <w:color w:val="0D0D0D"/>
          <w:position w:val="5"/>
          <w:sz w:val="8"/>
        </w:rPr>
        <w:t xml:space="preserve">2 </w:t>
      </w:r>
      <w:r>
        <w:rPr>
          <w:color w:val="0D0D0D"/>
          <w:sz w:val="12"/>
        </w:rPr>
        <w:t>For apprenticeship provision the lead provider must ensure that the subcontractor does not deliver the entirety of the programme. In addition, the lead provider must take regard to substance, leading the relationship, and the subcontracted delivery complimenting their main programme. Furthermore, the lead provider should utilise the funding rules monitoring reports to ensure that their subcontractors are not claiming funding for the same learners through a direct contract with ESFA or another subcontracting relationship with another lead provider.</w:t>
      </w:r>
    </w:p>
    <w:p w14:paraId="65B19DCF" w14:textId="77777777" w:rsidR="006941EE" w:rsidRDefault="006941EE" w:rsidP="006941EE">
      <w:pPr>
        <w:rPr>
          <w:sz w:val="12"/>
        </w:rPr>
        <w:sectPr w:rsidR="006941EE" w:rsidSect="00A7608E">
          <w:pgSz w:w="11910" w:h="16840"/>
          <w:pgMar w:top="1040" w:right="1040" w:bottom="960" w:left="1020" w:header="0" w:footer="776" w:gutter="0"/>
          <w:cols w:space="720"/>
        </w:sectPr>
      </w:pPr>
    </w:p>
    <w:p w14:paraId="6A0003FC" w14:textId="77777777" w:rsidR="006941EE" w:rsidRDefault="006941EE" w:rsidP="006941EE">
      <w:pPr>
        <w:pStyle w:val="Heading1"/>
        <w:keepNext w:val="0"/>
        <w:keepLines w:val="0"/>
        <w:widowControl w:val="0"/>
        <w:numPr>
          <w:ilvl w:val="0"/>
          <w:numId w:val="18"/>
        </w:numPr>
        <w:tabs>
          <w:tab w:val="left" w:pos="474"/>
        </w:tabs>
        <w:autoSpaceDE w:val="0"/>
        <w:autoSpaceDN w:val="0"/>
        <w:spacing w:before="75" w:line="240" w:lineRule="auto"/>
        <w:ind w:hanging="362"/>
      </w:pPr>
      <w:bookmarkStart w:id="8" w:name="_TOC_250006"/>
      <w:r>
        <w:rPr>
          <w:color w:val="0F4F75"/>
        </w:rPr>
        <w:lastRenderedPageBreak/>
        <w:t>Managing</w:t>
      </w:r>
      <w:r>
        <w:rPr>
          <w:color w:val="0F4F75"/>
          <w:spacing w:val="-1"/>
        </w:rPr>
        <w:t xml:space="preserve"> </w:t>
      </w:r>
      <w:bookmarkEnd w:id="8"/>
      <w:r>
        <w:rPr>
          <w:color w:val="0F4F75"/>
        </w:rPr>
        <w:t>performance</w:t>
      </w:r>
    </w:p>
    <w:p w14:paraId="1DA5C912" w14:textId="77777777" w:rsidR="006941EE" w:rsidRDefault="006941EE" w:rsidP="006941EE">
      <w:pPr>
        <w:pStyle w:val="BodyText"/>
        <w:spacing w:before="241"/>
        <w:ind w:left="112" w:right="259"/>
      </w:pPr>
      <w:r>
        <w:t>ESFA’s expectation is that a prime will have processes and procedures in place to effectively manage subcontracted provision, you will be required to demonstrate that as a minimum:</w:t>
      </w:r>
    </w:p>
    <w:p w14:paraId="7C1F67F0" w14:textId="77777777" w:rsidR="006941EE" w:rsidRDefault="006941EE" w:rsidP="006941EE">
      <w:pPr>
        <w:pStyle w:val="BodyText"/>
        <w:spacing w:before="10"/>
        <w:rPr>
          <w:sz w:val="20"/>
        </w:rPr>
      </w:pPr>
    </w:p>
    <w:p w14:paraId="5BE36F6D"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59"/>
        <w:contextualSpacing w:val="0"/>
        <w:rPr>
          <w:sz w:val="24"/>
        </w:rPr>
      </w:pPr>
      <w:r>
        <w:rPr>
          <w:sz w:val="24"/>
        </w:rPr>
        <w:t>Service management is well structured; baselines are understood by both</w:t>
      </w:r>
      <w:r>
        <w:rPr>
          <w:spacing w:val="-33"/>
          <w:sz w:val="24"/>
        </w:rPr>
        <w:t xml:space="preserve"> </w:t>
      </w:r>
      <w:r>
        <w:rPr>
          <w:sz w:val="24"/>
        </w:rPr>
        <w:t>parties, and subcontractors understand the service they are required to deliver. The contract manager ensures that the lead provider furnishes the subcontractor with the information and contacts needed to deliver the</w:t>
      </w:r>
      <w:r>
        <w:rPr>
          <w:spacing w:val="-9"/>
          <w:sz w:val="24"/>
        </w:rPr>
        <w:t xml:space="preserve"> </w:t>
      </w:r>
      <w:r>
        <w:rPr>
          <w:sz w:val="24"/>
        </w:rPr>
        <w:t>service.</w:t>
      </w:r>
    </w:p>
    <w:p w14:paraId="3F369193" w14:textId="77777777" w:rsidR="006941EE" w:rsidRDefault="006941EE" w:rsidP="006941EE">
      <w:pPr>
        <w:pStyle w:val="BodyText"/>
        <w:spacing w:before="10"/>
        <w:rPr>
          <w:sz w:val="20"/>
        </w:rPr>
      </w:pPr>
    </w:p>
    <w:p w14:paraId="2B7B7A3D"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613"/>
        <w:contextualSpacing w:val="0"/>
        <w:rPr>
          <w:sz w:val="24"/>
        </w:rPr>
      </w:pPr>
      <w:r>
        <w:rPr>
          <w:sz w:val="24"/>
        </w:rPr>
        <w:t>A performance management framework is in place when the contract is</w:t>
      </w:r>
      <w:r>
        <w:rPr>
          <w:spacing w:val="-41"/>
          <w:sz w:val="24"/>
        </w:rPr>
        <w:t xml:space="preserve"> </w:t>
      </w:r>
      <w:r>
        <w:rPr>
          <w:sz w:val="24"/>
        </w:rPr>
        <w:t>signed. The framework is comprehensive, objective and provides incentives for the subcontractor to meet or exceed agreed performance</w:t>
      </w:r>
      <w:r>
        <w:rPr>
          <w:spacing w:val="-10"/>
          <w:sz w:val="24"/>
        </w:rPr>
        <w:t xml:space="preserve"> </w:t>
      </w:r>
      <w:r>
        <w:rPr>
          <w:sz w:val="24"/>
        </w:rPr>
        <w:t>standards.</w:t>
      </w:r>
    </w:p>
    <w:p w14:paraId="3B0D34BA" w14:textId="77777777" w:rsidR="006941EE" w:rsidRDefault="006941EE" w:rsidP="006941EE">
      <w:pPr>
        <w:pStyle w:val="BodyText"/>
        <w:spacing w:before="11"/>
        <w:rPr>
          <w:sz w:val="20"/>
        </w:rPr>
      </w:pPr>
    </w:p>
    <w:p w14:paraId="04AC90C0"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02"/>
        <w:contextualSpacing w:val="0"/>
        <w:rPr>
          <w:sz w:val="24"/>
        </w:rPr>
      </w:pPr>
      <w:r>
        <w:rPr>
          <w:sz w:val="24"/>
        </w:rPr>
        <w:t>Service levels agreements are in place, and are linked to business needs, understood by the subcontractor, and monitored by the contract manager and/or end</w:t>
      </w:r>
      <w:r>
        <w:rPr>
          <w:spacing w:val="-2"/>
          <w:sz w:val="24"/>
        </w:rPr>
        <w:t xml:space="preserve"> </w:t>
      </w:r>
      <w:r>
        <w:rPr>
          <w:sz w:val="24"/>
        </w:rPr>
        <w:t>users.</w:t>
      </w:r>
    </w:p>
    <w:p w14:paraId="6B39CCAC" w14:textId="77777777" w:rsidR="006941EE" w:rsidRDefault="006941EE" w:rsidP="006941EE">
      <w:pPr>
        <w:pStyle w:val="BodyText"/>
        <w:spacing w:before="10"/>
        <w:rPr>
          <w:sz w:val="20"/>
        </w:rPr>
      </w:pPr>
    </w:p>
    <w:p w14:paraId="236DC1CC"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704"/>
        <w:contextualSpacing w:val="0"/>
        <w:rPr>
          <w:sz w:val="24"/>
        </w:rPr>
      </w:pPr>
      <w:r>
        <w:rPr>
          <w:sz w:val="24"/>
        </w:rPr>
        <w:t>Subcontractor performance is assessed using clear, objective, and</w:t>
      </w:r>
      <w:r>
        <w:rPr>
          <w:spacing w:val="-34"/>
          <w:sz w:val="24"/>
        </w:rPr>
        <w:t xml:space="preserve"> </w:t>
      </w:r>
      <w:r>
        <w:rPr>
          <w:sz w:val="24"/>
        </w:rPr>
        <w:t>meaningful metrics, linked where appropriate to ESFA’s funding rules and/or</w:t>
      </w:r>
      <w:r>
        <w:rPr>
          <w:spacing w:val="-20"/>
          <w:sz w:val="24"/>
        </w:rPr>
        <w:t xml:space="preserve"> </w:t>
      </w:r>
      <w:r>
        <w:rPr>
          <w:sz w:val="24"/>
        </w:rPr>
        <w:t>guidance.</w:t>
      </w:r>
    </w:p>
    <w:p w14:paraId="44B06462" w14:textId="77777777" w:rsidR="006941EE" w:rsidRDefault="006941EE" w:rsidP="006941EE">
      <w:pPr>
        <w:pStyle w:val="BodyText"/>
        <w:spacing w:before="10"/>
        <w:rPr>
          <w:sz w:val="20"/>
        </w:rPr>
      </w:pPr>
    </w:p>
    <w:p w14:paraId="3E07E310"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15"/>
        <w:contextualSpacing w:val="0"/>
        <w:rPr>
          <w:sz w:val="24"/>
        </w:rPr>
      </w:pPr>
      <w:r>
        <w:rPr>
          <w:sz w:val="24"/>
        </w:rPr>
        <w:t>Clear processes are in place to handle operational problem resolution and resolve issues as quickly as</w:t>
      </w:r>
      <w:r>
        <w:rPr>
          <w:spacing w:val="-5"/>
          <w:sz w:val="24"/>
        </w:rPr>
        <w:t xml:space="preserve"> </w:t>
      </w:r>
      <w:r>
        <w:rPr>
          <w:sz w:val="24"/>
        </w:rPr>
        <w:t>possible.</w:t>
      </w:r>
    </w:p>
    <w:p w14:paraId="4F9EA006" w14:textId="77777777" w:rsidR="006941EE" w:rsidRDefault="006941EE" w:rsidP="006941EE">
      <w:pPr>
        <w:pStyle w:val="BodyText"/>
        <w:spacing w:before="10"/>
        <w:rPr>
          <w:sz w:val="20"/>
        </w:rPr>
      </w:pPr>
    </w:p>
    <w:p w14:paraId="136DDD66"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24"/>
        <w:contextualSpacing w:val="0"/>
        <w:rPr>
          <w:sz w:val="24"/>
        </w:rPr>
      </w:pPr>
      <w:r>
        <w:rPr>
          <w:sz w:val="24"/>
        </w:rPr>
        <w:t>Where appropriate, user compliance with the contract is monitored and</w:t>
      </w:r>
      <w:r>
        <w:rPr>
          <w:spacing w:val="-39"/>
          <w:sz w:val="24"/>
        </w:rPr>
        <w:t xml:space="preserve"> </w:t>
      </w:r>
      <w:r>
        <w:rPr>
          <w:sz w:val="24"/>
        </w:rPr>
        <w:t>managed to ensure maximum operational effectiveness and value for</w:t>
      </w:r>
      <w:r>
        <w:rPr>
          <w:spacing w:val="-12"/>
          <w:sz w:val="24"/>
        </w:rPr>
        <w:t xml:space="preserve"> </w:t>
      </w:r>
      <w:r>
        <w:rPr>
          <w:sz w:val="24"/>
        </w:rPr>
        <w:t>money.</w:t>
      </w:r>
    </w:p>
    <w:p w14:paraId="78D35603" w14:textId="77777777" w:rsidR="006941EE" w:rsidRDefault="006941EE" w:rsidP="006941EE">
      <w:pPr>
        <w:pStyle w:val="BodyText"/>
        <w:spacing w:before="11"/>
        <w:rPr>
          <w:sz w:val="20"/>
        </w:rPr>
      </w:pPr>
    </w:p>
    <w:p w14:paraId="5E97A7A0"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hanging="361"/>
        <w:contextualSpacing w:val="0"/>
        <w:rPr>
          <w:sz w:val="24"/>
        </w:rPr>
      </w:pPr>
      <w:r>
        <w:rPr>
          <w:sz w:val="24"/>
        </w:rPr>
        <w:t>Regular and routine feedback is given to subcontractors on their</w:t>
      </w:r>
      <w:r>
        <w:rPr>
          <w:spacing w:val="-18"/>
          <w:sz w:val="24"/>
        </w:rPr>
        <w:t xml:space="preserve"> </w:t>
      </w:r>
      <w:r>
        <w:rPr>
          <w:sz w:val="24"/>
        </w:rPr>
        <w:t>performance.</w:t>
      </w:r>
    </w:p>
    <w:p w14:paraId="7B068CBF" w14:textId="77777777" w:rsidR="006941EE" w:rsidRDefault="006941EE" w:rsidP="006941EE">
      <w:pPr>
        <w:pStyle w:val="BodyText"/>
        <w:spacing w:before="10"/>
        <w:rPr>
          <w:sz w:val="20"/>
        </w:rPr>
      </w:pPr>
    </w:p>
    <w:p w14:paraId="4552839B"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247"/>
        <w:contextualSpacing w:val="0"/>
        <w:rPr>
          <w:sz w:val="24"/>
        </w:rPr>
      </w:pPr>
      <w:r>
        <w:rPr>
          <w:sz w:val="24"/>
        </w:rPr>
        <w:t>There are clear contact points for service users both within the subcontractor organisation and with the contract manager. Users understand what the contract is intended to deliver and are involved in the assessment of subcontractor performance where relevant. Users understand escalation routes where issues arise.</w:t>
      </w:r>
    </w:p>
    <w:p w14:paraId="098FB3D8" w14:textId="77777777" w:rsidR="006941EE" w:rsidRDefault="006941EE" w:rsidP="006941EE">
      <w:pPr>
        <w:pStyle w:val="BodyText"/>
        <w:spacing w:before="10"/>
        <w:rPr>
          <w:sz w:val="20"/>
        </w:rPr>
      </w:pPr>
    </w:p>
    <w:p w14:paraId="68F31379"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873"/>
        <w:contextualSpacing w:val="0"/>
        <w:rPr>
          <w:sz w:val="24"/>
        </w:rPr>
      </w:pPr>
      <w:r>
        <w:rPr>
          <w:sz w:val="24"/>
        </w:rPr>
        <w:t>Changes in user requirements are captured and considered as part of formal change and contract management</w:t>
      </w:r>
      <w:r>
        <w:rPr>
          <w:spacing w:val="-4"/>
          <w:sz w:val="24"/>
        </w:rPr>
        <w:t xml:space="preserve"> </w:t>
      </w:r>
      <w:r>
        <w:rPr>
          <w:sz w:val="24"/>
        </w:rPr>
        <w:t>processes.</w:t>
      </w:r>
    </w:p>
    <w:p w14:paraId="503EF707" w14:textId="77777777" w:rsidR="006941EE" w:rsidRDefault="006941EE" w:rsidP="006941EE">
      <w:pPr>
        <w:pStyle w:val="BodyText"/>
        <w:spacing w:before="10"/>
        <w:rPr>
          <w:sz w:val="20"/>
        </w:rPr>
      </w:pPr>
    </w:p>
    <w:p w14:paraId="1A979ADE"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250"/>
        <w:contextualSpacing w:val="0"/>
        <w:rPr>
          <w:sz w:val="24"/>
        </w:rPr>
      </w:pPr>
      <w:r>
        <w:rPr>
          <w:sz w:val="24"/>
        </w:rPr>
        <w:t>There are formal performance reviews with subcontractors, with documented improvement plans agreed where necessary, covering both operational issues</w:t>
      </w:r>
      <w:r>
        <w:rPr>
          <w:spacing w:val="-38"/>
          <w:sz w:val="24"/>
        </w:rPr>
        <w:t xml:space="preserve"> </w:t>
      </w:r>
      <w:r>
        <w:rPr>
          <w:sz w:val="24"/>
        </w:rPr>
        <w:t>and adherence to key contractual requirements, for example, on data</w:t>
      </w:r>
      <w:r>
        <w:rPr>
          <w:spacing w:val="-18"/>
          <w:sz w:val="24"/>
        </w:rPr>
        <w:t xml:space="preserve"> </w:t>
      </w:r>
      <w:r>
        <w:rPr>
          <w:sz w:val="24"/>
        </w:rPr>
        <w:t>security.</w:t>
      </w:r>
    </w:p>
    <w:p w14:paraId="451CE986" w14:textId="77777777" w:rsidR="006941EE" w:rsidRDefault="006941EE" w:rsidP="006941EE">
      <w:pPr>
        <w:rPr>
          <w:sz w:val="24"/>
        </w:rPr>
        <w:sectPr w:rsidR="006941EE" w:rsidSect="00A7608E">
          <w:pgSz w:w="11910" w:h="16840"/>
          <w:pgMar w:top="1040" w:right="1040" w:bottom="960" w:left="1020" w:header="0" w:footer="776" w:gutter="0"/>
          <w:cols w:space="720"/>
        </w:sectPr>
      </w:pPr>
    </w:p>
    <w:p w14:paraId="0137A056" w14:textId="77777777" w:rsidR="006941EE" w:rsidRDefault="006941EE" w:rsidP="006941EE">
      <w:pPr>
        <w:pStyle w:val="Heading1"/>
        <w:keepNext w:val="0"/>
        <w:keepLines w:val="0"/>
        <w:widowControl w:val="0"/>
        <w:numPr>
          <w:ilvl w:val="0"/>
          <w:numId w:val="18"/>
        </w:numPr>
        <w:tabs>
          <w:tab w:val="left" w:pos="474"/>
        </w:tabs>
        <w:autoSpaceDE w:val="0"/>
        <w:autoSpaceDN w:val="0"/>
        <w:spacing w:before="75" w:line="240" w:lineRule="auto"/>
        <w:ind w:hanging="362"/>
      </w:pPr>
      <w:bookmarkStart w:id="9" w:name="_TOC_250005"/>
      <w:r>
        <w:rPr>
          <w:color w:val="0F4F75"/>
        </w:rPr>
        <w:lastRenderedPageBreak/>
        <w:t>Payments and</w:t>
      </w:r>
      <w:r>
        <w:rPr>
          <w:color w:val="0F4F75"/>
          <w:spacing w:val="-1"/>
        </w:rPr>
        <w:t xml:space="preserve"> </w:t>
      </w:r>
      <w:bookmarkEnd w:id="9"/>
      <w:r>
        <w:rPr>
          <w:color w:val="0F4F75"/>
        </w:rPr>
        <w:t>incentives</w:t>
      </w:r>
    </w:p>
    <w:p w14:paraId="4E0EB0DF" w14:textId="77777777" w:rsidR="006941EE" w:rsidRDefault="006941EE" w:rsidP="006941EE">
      <w:pPr>
        <w:pStyle w:val="BodyText"/>
        <w:spacing w:before="241"/>
        <w:ind w:left="112" w:right="366"/>
      </w:pPr>
      <w:r>
        <w:t>ESFA’s expectation is that a lead provider will have sufficient processes and procedures in place to effectively monitor the financial payments in relation to their subcontracted provision, you will be required to demonstrate that as a minimum:</w:t>
      </w:r>
    </w:p>
    <w:p w14:paraId="24A44C9B" w14:textId="77777777" w:rsidR="006941EE" w:rsidRDefault="006941EE" w:rsidP="006941EE">
      <w:pPr>
        <w:pStyle w:val="BodyText"/>
        <w:spacing w:before="10"/>
        <w:rPr>
          <w:sz w:val="20"/>
        </w:rPr>
      </w:pPr>
    </w:p>
    <w:p w14:paraId="4E1BA356"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42"/>
        <w:contextualSpacing w:val="0"/>
        <w:rPr>
          <w:sz w:val="24"/>
        </w:rPr>
      </w:pPr>
      <w:r>
        <w:rPr>
          <w:sz w:val="24"/>
        </w:rPr>
        <w:t>Payment mechanisms are documented and are clear and well understood by all parties (including incentives, penalties, and non-standard</w:t>
      </w:r>
      <w:r>
        <w:rPr>
          <w:spacing w:val="-7"/>
          <w:sz w:val="24"/>
        </w:rPr>
        <w:t xml:space="preserve"> </w:t>
      </w:r>
      <w:r>
        <w:rPr>
          <w:sz w:val="24"/>
        </w:rPr>
        <w:t>charges).</w:t>
      </w:r>
    </w:p>
    <w:p w14:paraId="1555E998" w14:textId="77777777" w:rsidR="006941EE" w:rsidRDefault="006941EE" w:rsidP="006941EE">
      <w:pPr>
        <w:pStyle w:val="BodyText"/>
        <w:spacing w:before="10"/>
        <w:rPr>
          <w:sz w:val="20"/>
        </w:rPr>
      </w:pPr>
    </w:p>
    <w:p w14:paraId="1BEF2D69"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1170"/>
        <w:contextualSpacing w:val="0"/>
        <w:rPr>
          <w:sz w:val="24"/>
        </w:rPr>
      </w:pPr>
      <w:r>
        <w:rPr>
          <w:sz w:val="24"/>
        </w:rPr>
        <w:t>Payment processes are well defined and efficient; appropriate checks and authorisation processes are in place for paying</w:t>
      </w:r>
      <w:r>
        <w:rPr>
          <w:spacing w:val="-8"/>
          <w:sz w:val="24"/>
        </w:rPr>
        <w:t xml:space="preserve"> </w:t>
      </w:r>
      <w:r>
        <w:rPr>
          <w:sz w:val="24"/>
        </w:rPr>
        <w:t>invoices.</w:t>
      </w:r>
    </w:p>
    <w:p w14:paraId="41ADC9AB" w14:textId="77777777" w:rsidR="006941EE" w:rsidRDefault="006941EE" w:rsidP="006941EE">
      <w:pPr>
        <w:pStyle w:val="BodyText"/>
        <w:spacing w:before="10"/>
        <w:rPr>
          <w:sz w:val="20"/>
        </w:rPr>
      </w:pPr>
    </w:p>
    <w:p w14:paraId="431E8BA0"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23"/>
        <w:contextualSpacing w:val="0"/>
        <w:rPr>
          <w:sz w:val="24"/>
        </w:rPr>
      </w:pPr>
      <w:r>
        <w:rPr>
          <w:sz w:val="24"/>
        </w:rPr>
        <w:t>The costs of the services delivered, and contract management costs are mapped against budgets and allocated</w:t>
      </w:r>
      <w:r>
        <w:rPr>
          <w:spacing w:val="-4"/>
          <w:sz w:val="24"/>
        </w:rPr>
        <w:t xml:space="preserve"> </w:t>
      </w:r>
      <w:r>
        <w:rPr>
          <w:sz w:val="24"/>
        </w:rPr>
        <w:t>appropriately.</w:t>
      </w:r>
    </w:p>
    <w:p w14:paraId="05DF3F30" w14:textId="77777777" w:rsidR="006941EE" w:rsidRDefault="006941EE" w:rsidP="006941EE">
      <w:pPr>
        <w:pStyle w:val="BodyText"/>
        <w:spacing w:before="11"/>
        <w:rPr>
          <w:sz w:val="20"/>
        </w:rPr>
      </w:pPr>
    </w:p>
    <w:p w14:paraId="6087C18B"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39"/>
        <w:contextualSpacing w:val="0"/>
        <w:rPr>
          <w:sz w:val="24"/>
        </w:rPr>
      </w:pPr>
      <w:r>
        <w:rPr>
          <w:sz w:val="24"/>
        </w:rPr>
        <w:t>Payment changes after the contract is let, for example from contract variations</w:t>
      </w:r>
      <w:r>
        <w:rPr>
          <w:spacing w:val="-33"/>
          <w:sz w:val="24"/>
        </w:rPr>
        <w:t xml:space="preserve"> </w:t>
      </w:r>
      <w:r>
        <w:rPr>
          <w:sz w:val="24"/>
        </w:rPr>
        <w:t>or benchmarking/ market testing, are made using contractual provisions and demonstrated to provide value for</w:t>
      </w:r>
      <w:r>
        <w:rPr>
          <w:spacing w:val="-8"/>
          <w:sz w:val="24"/>
        </w:rPr>
        <w:t xml:space="preserve"> </w:t>
      </w:r>
      <w:r>
        <w:rPr>
          <w:sz w:val="24"/>
        </w:rPr>
        <w:t>money.</w:t>
      </w:r>
    </w:p>
    <w:p w14:paraId="5318D8AC" w14:textId="77777777" w:rsidR="006941EE" w:rsidRDefault="006941EE" w:rsidP="006941EE">
      <w:pPr>
        <w:pStyle w:val="BodyText"/>
        <w:spacing w:before="10"/>
        <w:rPr>
          <w:sz w:val="20"/>
        </w:rPr>
      </w:pPr>
    </w:p>
    <w:p w14:paraId="7B3D1CE4"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56"/>
        <w:contextualSpacing w:val="0"/>
        <w:rPr>
          <w:sz w:val="24"/>
        </w:rPr>
      </w:pPr>
      <w:r>
        <w:rPr>
          <w:sz w:val="24"/>
        </w:rPr>
        <w:t>Payments are not made in advance of evidence to demonstrate learning activity has been</w:t>
      </w:r>
      <w:r>
        <w:rPr>
          <w:spacing w:val="-3"/>
          <w:sz w:val="24"/>
        </w:rPr>
        <w:t xml:space="preserve"> </w:t>
      </w:r>
      <w:r>
        <w:rPr>
          <w:sz w:val="24"/>
        </w:rPr>
        <w:t>undertaken.</w:t>
      </w:r>
    </w:p>
    <w:p w14:paraId="728A51EF" w14:textId="77777777" w:rsidR="006941EE" w:rsidRDefault="006941EE" w:rsidP="006941EE">
      <w:pPr>
        <w:rPr>
          <w:sz w:val="24"/>
        </w:rPr>
        <w:sectPr w:rsidR="006941EE" w:rsidSect="00A7608E">
          <w:pgSz w:w="11910" w:h="16840"/>
          <w:pgMar w:top="1040" w:right="1040" w:bottom="960" w:left="1020" w:header="0" w:footer="776" w:gutter="0"/>
          <w:cols w:space="720"/>
        </w:sectPr>
      </w:pPr>
    </w:p>
    <w:p w14:paraId="3F762873" w14:textId="77777777" w:rsidR="006941EE" w:rsidRDefault="006941EE" w:rsidP="006941EE">
      <w:pPr>
        <w:pStyle w:val="Heading1"/>
        <w:keepNext w:val="0"/>
        <w:keepLines w:val="0"/>
        <w:widowControl w:val="0"/>
        <w:numPr>
          <w:ilvl w:val="0"/>
          <w:numId w:val="18"/>
        </w:numPr>
        <w:tabs>
          <w:tab w:val="left" w:pos="474"/>
        </w:tabs>
        <w:autoSpaceDE w:val="0"/>
        <w:autoSpaceDN w:val="0"/>
        <w:spacing w:before="75" w:line="240" w:lineRule="auto"/>
        <w:ind w:hanging="362"/>
      </w:pPr>
      <w:bookmarkStart w:id="10" w:name="_TOC_250004"/>
      <w:r>
        <w:rPr>
          <w:color w:val="0F4F75"/>
        </w:rPr>
        <w:lastRenderedPageBreak/>
        <w:t>Risk</w:t>
      </w:r>
      <w:r>
        <w:rPr>
          <w:color w:val="0F4F75"/>
          <w:spacing w:val="-3"/>
        </w:rPr>
        <w:t xml:space="preserve"> </w:t>
      </w:r>
      <w:bookmarkEnd w:id="10"/>
      <w:r>
        <w:rPr>
          <w:color w:val="0F4F75"/>
        </w:rPr>
        <w:t>management</w:t>
      </w:r>
    </w:p>
    <w:p w14:paraId="32FA8989" w14:textId="77777777" w:rsidR="006941EE" w:rsidRDefault="006941EE" w:rsidP="006941EE">
      <w:pPr>
        <w:pStyle w:val="BodyText"/>
        <w:spacing w:before="241"/>
        <w:ind w:left="112" w:right="1260"/>
      </w:pPr>
      <w:r>
        <w:t>In order to provide assurance to ESFA that you have effective risk management procedures in place to effectively manage the public money which is paid to subcontractors. As a minimum you will be expected to demonstrate:</w:t>
      </w:r>
    </w:p>
    <w:p w14:paraId="507B2ABB" w14:textId="77777777" w:rsidR="006941EE" w:rsidRDefault="006941EE" w:rsidP="006941EE">
      <w:pPr>
        <w:pStyle w:val="BodyText"/>
        <w:spacing w:before="10"/>
        <w:rPr>
          <w:sz w:val="20"/>
        </w:rPr>
      </w:pPr>
    </w:p>
    <w:p w14:paraId="2023193C"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03"/>
        <w:contextualSpacing w:val="0"/>
        <w:rPr>
          <w:sz w:val="24"/>
        </w:rPr>
      </w:pPr>
      <w:r>
        <w:rPr>
          <w:sz w:val="24"/>
        </w:rPr>
        <w:t>Contractual/subcontractor risk management is in place with clear responsibilities and processes, identification of who is best placed to manage risk, and subcontractor involvement where</w:t>
      </w:r>
      <w:r>
        <w:rPr>
          <w:spacing w:val="-4"/>
          <w:sz w:val="24"/>
        </w:rPr>
        <w:t xml:space="preserve"> </w:t>
      </w:r>
      <w:r>
        <w:rPr>
          <w:sz w:val="24"/>
        </w:rPr>
        <w:t>appropriate.</w:t>
      </w:r>
    </w:p>
    <w:p w14:paraId="7D8BC957" w14:textId="77777777" w:rsidR="006941EE" w:rsidRDefault="006941EE" w:rsidP="006941EE">
      <w:pPr>
        <w:pStyle w:val="BodyText"/>
        <w:spacing w:before="10"/>
        <w:rPr>
          <w:sz w:val="20"/>
        </w:rPr>
      </w:pPr>
    </w:p>
    <w:p w14:paraId="76B817CC"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611"/>
        <w:contextualSpacing w:val="0"/>
        <w:rPr>
          <w:sz w:val="24"/>
        </w:rPr>
      </w:pPr>
      <w:r>
        <w:rPr>
          <w:sz w:val="24"/>
        </w:rPr>
        <w:t>Risks are formally identified and monitored regularly, with mitigating actions developed and implemented where possible, and ‘obsolete’ risks removed</w:t>
      </w:r>
      <w:r>
        <w:rPr>
          <w:spacing w:val="-34"/>
          <w:sz w:val="24"/>
        </w:rPr>
        <w:t xml:space="preserve"> </w:t>
      </w:r>
      <w:r>
        <w:rPr>
          <w:sz w:val="24"/>
        </w:rPr>
        <w:t>from consideration where</w:t>
      </w:r>
      <w:r>
        <w:rPr>
          <w:spacing w:val="-3"/>
          <w:sz w:val="24"/>
        </w:rPr>
        <w:t xml:space="preserve"> </w:t>
      </w:r>
      <w:r>
        <w:rPr>
          <w:sz w:val="24"/>
        </w:rPr>
        <w:t>appropriate.</w:t>
      </w:r>
    </w:p>
    <w:p w14:paraId="0F75DD6E" w14:textId="77777777" w:rsidR="006941EE" w:rsidRDefault="006941EE" w:rsidP="006941EE">
      <w:pPr>
        <w:pStyle w:val="BodyText"/>
        <w:spacing w:before="10"/>
        <w:rPr>
          <w:sz w:val="20"/>
        </w:rPr>
      </w:pPr>
    </w:p>
    <w:p w14:paraId="37BC833A"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hanging="361"/>
        <w:contextualSpacing w:val="0"/>
        <w:rPr>
          <w:sz w:val="24"/>
        </w:rPr>
      </w:pPr>
      <w:r>
        <w:rPr>
          <w:sz w:val="24"/>
        </w:rPr>
        <w:t>Escalation and reporting routes are in place for risk</w:t>
      </w:r>
      <w:r>
        <w:rPr>
          <w:spacing w:val="-9"/>
          <w:sz w:val="24"/>
        </w:rPr>
        <w:t xml:space="preserve"> </w:t>
      </w:r>
      <w:r>
        <w:rPr>
          <w:sz w:val="24"/>
        </w:rPr>
        <w:t>governance.</w:t>
      </w:r>
    </w:p>
    <w:p w14:paraId="56031FBC" w14:textId="77777777" w:rsidR="006941EE" w:rsidRDefault="006941EE" w:rsidP="006941EE">
      <w:pPr>
        <w:pStyle w:val="BodyText"/>
        <w:spacing w:before="11"/>
        <w:rPr>
          <w:sz w:val="20"/>
        </w:rPr>
      </w:pPr>
    </w:p>
    <w:p w14:paraId="50E55D11"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29"/>
        <w:contextualSpacing w:val="0"/>
        <w:rPr>
          <w:sz w:val="24"/>
        </w:rPr>
      </w:pPr>
      <w:r>
        <w:rPr>
          <w:sz w:val="24"/>
        </w:rPr>
        <w:t>Contingency plans are developed to handle subcontractor failure (temporary or long-term failure/default); exit strategies are developed and updated through the life of the contract.</w:t>
      </w:r>
    </w:p>
    <w:p w14:paraId="0A3032FD" w14:textId="77777777" w:rsidR="006941EE" w:rsidRDefault="006941EE" w:rsidP="006941EE">
      <w:pPr>
        <w:pStyle w:val="BodyText"/>
        <w:spacing w:before="10"/>
        <w:rPr>
          <w:sz w:val="20"/>
        </w:rPr>
      </w:pPr>
    </w:p>
    <w:p w14:paraId="7620D745"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1042"/>
        <w:contextualSpacing w:val="0"/>
        <w:rPr>
          <w:sz w:val="24"/>
        </w:rPr>
      </w:pPr>
      <w:r>
        <w:rPr>
          <w:sz w:val="24"/>
        </w:rPr>
        <w:t xml:space="preserve">Contractual terms around termination are understood and monitored </w:t>
      </w:r>
      <w:r>
        <w:rPr>
          <w:spacing w:val="4"/>
          <w:sz w:val="24"/>
        </w:rPr>
        <w:t>by</w:t>
      </w:r>
      <w:r>
        <w:rPr>
          <w:spacing w:val="-31"/>
          <w:sz w:val="24"/>
        </w:rPr>
        <w:t xml:space="preserve"> </w:t>
      </w:r>
      <w:r>
        <w:rPr>
          <w:sz w:val="24"/>
        </w:rPr>
        <w:t>the contract</w:t>
      </w:r>
      <w:r>
        <w:rPr>
          <w:spacing w:val="-3"/>
          <w:sz w:val="24"/>
        </w:rPr>
        <w:t xml:space="preserve"> </w:t>
      </w:r>
      <w:r>
        <w:rPr>
          <w:sz w:val="24"/>
        </w:rPr>
        <w:t>manager.</w:t>
      </w:r>
    </w:p>
    <w:p w14:paraId="64EF5738" w14:textId="77777777" w:rsidR="006941EE" w:rsidRDefault="006941EE" w:rsidP="006941EE">
      <w:pPr>
        <w:pStyle w:val="BodyText"/>
        <w:spacing w:before="10"/>
        <w:rPr>
          <w:sz w:val="20"/>
        </w:rPr>
      </w:pPr>
    </w:p>
    <w:p w14:paraId="4CF1E193"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31"/>
        <w:contextualSpacing w:val="0"/>
        <w:rPr>
          <w:sz w:val="24"/>
        </w:rPr>
      </w:pPr>
      <w:r>
        <w:rPr>
          <w:sz w:val="24"/>
        </w:rPr>
        <w:t>Contractual terms around warranties, indemnities and insurance are</w:t>
      </w:r>
      <w:r>
        <w:rPr>
          <w:spacing w:val="-33"/>
          <w:sz w:val="24"/>
        </w:rPr>
        <w:t xml:space="preserve"> </w:t>
      </w:r>
      <w:r>
        <w:rPr>
          <w:sz w:val="24"/>
        </w:rPr>
        <w:t>understood and monitored by the contract</w:t>
      </w:r>
      <w:r>
        <w:rPr>
          <w:spacing w:val="-9"/>
          <w:sz w:val="24"/>
        </w:rPr>
        <w:t xml:space="preserve"> </w:t>
      </w:r>
      <w:r>
        <w:rPr>
          <w:sz w:val="24"/>
        </w:rPr>
        <w:t>manager.</w:t>
      </w:r>
    </w:p>
    <w:p w14:paraId="7667A342" w14:textId="77777777" w:rsidR="006941EE" w:rsidRDefault="006941EE" w:rsidP="006941EE">
      <w:pPr>
        <w:pStyle w:val="BodyText"/>
        <w:spacing w:before="10"/>
        <w:rPr>
          <w:sz w:val="20"/>
        </w:rPr>
      </w:pPr>
    </w:p>
    <w:p w14:paraId="00EF1989"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1276"/>
        <w:contextualSpacing w:val="0"/>
        <w:rPr>
          <w:sz w:val="24"/>
        </w:rPr>
      </w:pPr>
      <w:r>
        <w:rPr>
          <w:sz w:val="24"/>
        </w:rPr>
        <w:t>Contractual terms around security and confidentiality are understood and monitored by the contract manager, particularly issues relating to the security/confidentiality of personal</w:t>
      </w:r>
      <w:r>
        <w:rPr>
          <w:spacing w:val="-6"/>
          <w:sz w:val="24"/>
        </w:rPr>
        <w:t xml:space="preserve"> </w:t>
      </w:r>
      <w:r>
        <w:rPr>
          <w:sz w:val="24"/>
        </w:rPr>
        <w:t>data.</w:t>
      </w:r>
    </w:p>
    <w:p w14:paraId="6FB3484D" w14:textId="77777777" w:rsidR="006941EE" w:rsidRDefault="006941EE" w:rsidP="006941EE">
      <w:pPr>
        <w:pStyle w:val="BodyText"/>
        <w:spacing w:before="11"/>
        <w:rPr>
          <w:sz w:val="20"/>
        </w:rPr>
      </w:pPr>
    </w:p>
    <w:p w14:paraId="4BE9A045"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1383"/>
        <w:contextualSpacing w:val="0"/>
        <w:rPr>
          <w:sz w:val="24"/>
        </w:rPr>
      </w:pPr>
      <w:r>
        <w:rPr>
          <w:sz w:val="24"/>
        </w:rPr>
        <w:t>Dispute resolution processes are in place, including agreed adjudication procedures, mediation, and</w:t>
      </w:r>
      <w:r>
        <w:rPr>
          <w:spacing w:val="-7"/>
          <w:sz w:val="24"/>
        </w:rPr>
        <w:t xml:space="preserve"> </w:t>
      </w:r>
      <w:r>
        <w:rPr>
          <w:sz w:val="24"/>
        </w:rPr>
        <w:t>arbitration.</w:t>
      </w:r>
    </w:p>
    <w:p w14:paraId="5CB64477" w14:textId="77777777" w:rsidR="006941EE" w:rsidRDefault="006941EE" w:rsidP="006941EE">
      <w:pPr>
        <w:pStyle w:val="BodyText"/>
        <w:spacing w:before="10"/>
        <w:rPr>
          <w:sz w:val="20"/>
        </w:rPr>
      </w:pPr>
    </w:p>
    <w:p w14:paraId="576D7B6C"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429"/>
        <w:contextualSpacing w:val="0"/>
        <w:rPr>
          <w:sz w:val="24"/>
        </w:rPr>
      </w:pPr>
      <w:r>
        <w:rPr>
          <w:sz w:val="24"/>
        </w:rPr>
        <w:t>The contract manager monitors the subcontractor’s financial health and business performance (including using credit rating</w:t>
      </w:r>
      <w:r>
        <w:rPr>
          <w:spacing w:val="-4"/>
          <w:sz w:val="24"/>
        </w:rPr>
        <w:t xml:space="preserve"> </w:t>
      </w:r>
      <w:r>
        <w:rPr>
          <w:sz w:val="24"/>
        </w:rPr>
        <w:t>agencies).</w:t>
      </w:r>
    </w:p>
    <w:p w14:paraId="1E24B12F" w14:textId="77777777" w:rsidR="006941EE" w:rsidRDefault="006941EE" w:rsidP="006941EE">
      <w:pPr>
        <w:pStyle w:val="BodyText"/>
        <w:spacing w:before="10"/>
        <w:rPr>
          <w:sz w:val="20"/>
        </w:rPr>
      </w:pPr>
    </w:p>
    <w:p w14:paraId="00AE0E7A"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70"/>
        <w:contextualSpacing w:val="0"/>
        <w:rPr>
          <w:sz w:val="24"/>
        </w:rPr>
      </w:pPr>
      <w:r>
        <w:rPr>
          <w:sz w:val="24"/>
        </w:rPr>
        <w:t>The contract manager monitors the subcontractor’s compliance with contractual ‘non-performance’ issues (for example, on tax and sustainability</w:t>
      </w:r>
      <w:r>
        <w:rPr>
          <w:spacing w:val="-21"/>
          <w:sz w:val="24"/>
        </w:rPr>
        <w:t xml:space="preserve"> </w:t>
      </w:r>
      <w:r>
        <w:rPr>
          <w:sz w:val="24"/>
        </w:rPr>
        <w:t>targets).</w:t>
      </w:r>
    </w:p>
    <w:p w14:paraId="306E0CDA" w14:textId="77777777" w:rsidR="006941EE" w:rsidRDefault="006941EE" w:rsidP="006941EE">
      <w:pPr>
        <w:rPr>
          <w:sz w:val="24"/>
        </w:rPr>
        <w:sectPr w:rsidR="006941EE" w:rsidSect="00A7608E">
          <w:pgSz w:w="11910" w:h="16840"/>
          <w:pgMar w:top="1040" w:right="1040" w:bottom="960" w:left="1020" w:header="0" w:footer="776" w:gutter="0"/>
          <w:cols w:space="720"/>
        </w:sectPr>
      </w:pPr>
    </w:p>
    <w:p w14:paraId="08EFD952" w14:textId="77777777" w:rsidR="006941EE" w:rsidRDefault="006941EE" w:rsidP="006941EE">
      <w:pPr>
        <w:pStyle w:val="Heading1"/>
        <w:keepNext w:val="0"/>
        <w:keepLines w:val="0"/>
        <w:widowControl w:val="0"/>
        <w:numPr>
          <w:ilvl w:val="0"/>
          <w:numId w:val="18"/>
        </w:numPr>
        <w:tabs>
          <w:tab w:val="left" w:pos="474"/>
        </w:tabs>
        <w:autoSpaceDE w:val="0"/>
        <w:autoSpaceDN w:val="0"/>
        <w:spacing w:before="75" w:line="240" w:lineRule="auto"/>
        <w:ind w:hanging="362"/>
      </w:pPr>
      <w:bookmarkStart w:id="11" w:name="_TOC_250003"/>
      <w:r>
        <w:rPr>
          <w:color w:val="0F4F75"/>
        </w:rPr>
        <w:lastRenderedPageBreak/>
        <w:t>Contract development and/or</w:t>
      </w:r>
      <w:r>
        <w:rPr>
          <w:color w:val="0F4F75"/>
          <w:spacing w:val="-3"/>
        </w:rPr>
        <w:t xml:space="preserve"> </w:t>
      </w:r>
      <w:bookmarkEnd w:id="11"/>
      <w:r>
        <w:rPr>
          <w:color w:val="0F4F75"/>
        </w:rPr>
        <w:t>termination</w:t>
      </w:r>
    </w:p>
    <w:p w14:paraId="7470E0C3" w14:textId="77777777" w:rsidR="006941EE" w:rsidRDefault="006941EE" w:rsidP="006941EE">
      <w:pPr>
        <w:pStyle w:val="BodyText"/>
        <w:spacing w:before="241"/>
        <w:ind w:left="112" w:right="472"/>
      </w:pPr>
      <w:r>
        <w:t>In order to ensure that changes to the contract or termination are handled appropriately and efficiently the lead provider must:</w:t>
      </w:r>
    </w:p>
    <w:p w14:paraId="296B835A" w14:textId="77777777" w:rsidR="006941EE" w:rsidRDefault="006941EE" w:rsidP="006941EE">
      <w:pPr>
        <w:pStyle w:val="BodyText"/>
        <w:spacing w:before="10"/>
        <w:rPr>
          <w:sz w:val="20"/>
        </w:rPr>
      </w:pPr>
    </w:p>
    <w:p w14:paraId="1C9AE226"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1210"/>
        <w:contextualSpacing w:val="0"/>
        <w:rPr>
          <w:color w:val="0D0D0D"/>
          <w:sz w:val="24"/>
        </w:rPr>
      </w:pPr>
      <w:r>
        <w:rPr>
          <w:color w:val="0D0D0D"/>
          <w:sz w:val="24"/>
        </w:rPr>
        <w:t>Undertake analysis of their subcontracted activity each year, to inform the progress made in their plans for a reduction across the 3-year</w:t>
      </w:r>
      <w:r>
        <w:rPr>
          <w:color w:val="0D0D0D"/>
          <w:spacing w:val="-18"/>
          <w:sz w:val="24"/>
        </w:rPr>
        <w:t xml:space="preserve"> </w:t>
      </w:r>
      <w:r>
        <w:rPr>
          <w:color w:val="0D0D0D"/>
          <w:sz w:val="24"/>
        </w:rPr>
        <w:t>period.</w:t>
      </w:r>
    </w:p>
    <w:p w14:paraId="7CE28618" w14:textId="77777777" w:rsidR="006941EE" w:rsidRDefault="006941EE" w:rsidP="006941EE">
      <w:pPr>
        <w:pStyle w:val="BodyText"/>
      </w:pPr>
    </w:p>
    <w:p w14:paraId="193F5310"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730"/>
        <w:contextualSpacing w:val="0"/>
        <w:rPr>
          <w:sz w:val="24"/>
        </w:rPr>
      </w:pPr>
      <w:r>
        <w:rPr>
          <w:sz w:val="24"/>
        </w:rPr>
        <w:t>Regularly review the subcontract (with a view to updating where necessary) to ensure it meets evolving business and educational</w:t>
      </w:r>
      <w:r>
        <w:rPr>
          <w:spacing w:val="-12"/>
          <w:sz w:val="24"/>
        </w:rPr>
        <w:t xml:space="preserve"> </w:t>
      </w:r>
      <w:r>
        <w:rPr>
          <w:sz w:val="24"/>
        </w:rPr>
        <w:t>needs.</w:t>
      </w:r>
    </w:p>
    <w:p w14:paraId="2D624888" w14:textId="77777777" w:rsidR="006941EE" w:rsidRDefault="006941EE" w:rsidP="006941EE">
      <w:pPr>
        <w:pStyle w:val="BodyText"/>
        <w:spacing w:before="10"/>
        <w:rPr>
          <w:sz w:val="20"/>
        </w:rPr>
      </w:pPr>
    </w:p>
    <w:p w14:paraId="2E855A55"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57"/>
        <w:contextualSpacing w:val="0"/>
        <w:rPr>
          <w:sz w:val="24"/>
        </w:rPr>
      </w:pPr>
      <w:r>
        <w:rPr>
          <w:sz w:val="24"/>
        </w:rPr>
        <w:t>Ensure processes are in place that clearly lay out the governance of</w:t>
      </w:r>
      <w:r>
        <w:rPr>
          <w:spacing w:val="-33"/>
          <w:sz w:val="24"/>
        </w:rPr>
        <w:t xml:space="preserve"> </w:t>
      </w:r>
      <w:r>
        <w:rPr>
          <w:sz w:val="24"/>
        </w:rPr>
        <w:t>contractual change – who needs to approve what and how it will happen – with a focus on effective and prompt change</w:t>
      </w:r>
      <w:r>
        <w:rPr>
          <w:spacing w:val="-4"/>
          <w:sz w:val="24"/>
        </w:rPr>
        <w:t xml:space="preserve"> </w:t>
      </w:r>
      <w:r>
        <w:rPr>
          <w:sz w:val="24"/>
        </w:rPr>
        <w:t>implementation.</w:t>
      </w:r>
    </w:p>
    <w:p w14:paraId="4CE728F3" w14:textId="77777777" w:rsidR="006941EE" w:rsidRDefault="006941EE" w:rsidP="006941EE">
      <w:pPr>
        <w:pStyle w:val="BodyText"/>
        <w:spacing w:before="11"/>
        <w:rPr>
          <w:sz w:val="20"/>
        </w:rPr>
      </w:pPr>
    </w:p>
    <w:p w14:paraId="5B1AC359"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891"/>
        <w:contextualSpacing w:val="0"/>
        <w:rPr>
          <w:sz w:val="24"/>
        </w:rPr>
      </w:pPr>
      <w:r>
        <w:rPr>
          <w:sz w:val="24"/>
        </w:rPr>
        <w:t>Ensure there are clear processes for the management of minor changes</w:t>
      </w:r>
      <w:r>
        <w:rPr>
          <w:spacing w:val="-29"/>
          <w:sz w:val="24"/>
        </w:rPr>
        <w:t xml:space="preserve"> </w:t>
      </w:r>
      <w:r>
        <w:rPr>
          <w:sz w:val="24"/>
        </w:rPr>
        <w:t>and contract variations, with a focus on the cost/effort being proportionate to the importance and value of the</w:t>
      </w:r>
      <w:r>
        <w:rPr>
          <w:spacing w:val="-5"/>
          <w:sz w:val="24"/>
        </w:rPr>
        <w:t xml:space="preserve"> </w:t>
      </w:r>
      <w:r>
        <w:rPr>
          <w:sz w:val="24"/>
        </w:rPr>
        <w:t>change.</w:t>
      </w:r>
    </w:p>
    <w:p w14:paraId="2CC51BB4" w14:textId="77777777" w:rsidR="006941EE" w:rsidRDefault="006941EE" w:rsidP="006941EE">
      <w:pPr>
        <w:pStyle w:val="BodyText"/>
        <w:spacing w:before="10"/>
        <w:rPr>
          <w:sz w:val="20"/>
        </w:rPr>
      </w:pPr>
    </w:p>
    <w:p w14:paraId="20C49139"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14"/>
        <w:contextualSpacing w:val="0"/>
        <w:rPr>
          <w:sz w:val="24"/>
        </w:rPr>
      </w:pPr>
      <w:r>
        <w:rPr>
          <w:sz w:val="24"/>
        </w:rPr>
        <w:t>Ensure there are more rigorous processes to handle major contractual changes, including clear approval mechanisms and accountabilities, and controls to demonstrate that changes offer value for</w:t>
      </w:r>
      <w:r>
        <w:rPr>
          <w:spacing w:val="-3"/>
          <w:sz w:val="24"/>
        </w:rPr>
        <w:t xml:space="preserve"> </w:t>
      </w:r>
      <w:r>
        <w:rPr>
          <w:sz w:val="24"/>
        </w:rPr>
        <w:t>money.</w:t>
      </w:r>
    </w:p>
    <w:p w14:paraId="30040077" w14:textId="77777777" w:rsidR="006941EE" w:rsidRDefault="006941EE" w:rsidP="006941EE">
      <w:pPr>
        <w:pStyle w:val="BodyText"/>
        <w:spacing w:before="10"/>
        <w:rPr>
          <w:sz w:val="20"/>
        </w:rPr>
      </w:pPr>
    </w:p>
    <w:p w14:paraId="24929705"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01"/>
        <w:contextualSpacing w:val="0"/>
        <w:rPr>
          <w:sz w:val="24"/>
        </w:rPr>
      </w:pPr>
      <w:r>
        <w:rPr>
          <w:sz w:val="24"/>
        </w:rPr>
        <w:t>Where appropriate, undertake value for money testing of existing services through benchmarking or other</w:t>
      </w:r>
      <w:r>
        <w:rPr>
          <w:spacing w:val="-4"/>
          <w:sz w:val="24"/>
        </w:rPr>
        <w:t xml:space="preserve"> </w:t>
      </w:r>
      <w:r>
        <w:rPr>
          <w:sz w:val="24"/>
        </w:rPr>
        <w:t>processes.</w:t>
      </w:r>
    </w:p>
    <w:p w14:paraId="26B860BA" w14:textId="77777777" w:rsidR="006941EE" w:rsidRDefault="006941EE" w:rsidP="006941EE">
      <w:pPr>
        <w:pStyle w:val="BodyText"/>
        <w:spacing w:before="10"/>
        <w:rPr>
          <w:sz w:val="20"/>
        </w:rPr>
      </w:pPr>
    </w:p>
    <w:p w14:paraId="0A63851B"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638"/>
        <w:contextualSpacing w:val="0"/>
        <w:rPr>
          <w:sz w:val="24"/>
        </w:rPr>
      </w:pPr>
      <w:r>
        <w:rPr>
          <w:sz w:val="24"/>
        </w:rPr>
        <w:t>Ensure there are processes to cover the introduction of new services under</w:t>
      </w:r>
      <w:r>
        <w:rPr>
          <w:spacing w:val="-30"/>
          <w:sz w:val="24"/>
        </w:rPr>
        <w:t xml:space="preserve"> </w:t>
      </w:r>
      <w:r>
        <w:rPr>
          <w:sz w:val="24"/>
        </w:rPr>
        <w:t>the contract, including market testing where</w:t>
      </w:r>
      <w:r>
        <w:rPr>
          <w:spacing w:val="-8"/>
          <w:sz w:val="24"/>
        </w:rPr>
        <w:t xml:space="preserve"> </w:t>
      </w:r>
      <w:r>
        <w:rPr>
          <w:sz w:val="24"/>
        </w:rPr>
        <w:t>necessary.</w:t>
      </w:r>
    </w:p>
    <w:p w14:paraId="26F625DE" w14:textId="77777777" w:rsidR="006941EE" w:rsidRDefault="006941EE" w:rsidP="006941EE">
      <w:pPr>
        <w:pStyle w:val="BodyText"/>
        <w:spacing w:before="11"/>
        <w:rPr>
          <w:sz w:val="20"/>
        </w:rPr>
      </w:pPr>
    </w:p>
    <w:p w14:paraId="4C176CF2"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hanging="361"/>
        <w:contextualSpacing w:val="0"/>
        <w:rPr>
          <w:sz w:val="24"/>
        </w:rPr>
      </w:pPr>
      <w:r>
        <w:rPr>
          <w:sz w:val="24"/>
        </w:rPr>
        <w:t>Have dispute handling processes in place to address any change related</w:t>
      </w:r>
      <w:r>
        <w:rPr>
          <w:spacing w:val="-22"/>
          <w:sz w:val="24"/>
        </w:rPr>
        <w:t xml:space="preserve"> </w:t>
      </w:r>
      <w:r>
        <w:rPr>
          <w:sz w:val="24"/>
        </w:rPr>
        <w:t>issues.</w:t>
      </w:r>
    </w:p>
    <w:p w14:paraId="39BB5BB4" w14:textId="77777777" w:rsidR="006941EE" w:rsidRDefault="006941EE" w:rsidP="006941EE">
      <w:pPr>
        <w:pStyle w:val="BodyText"/>
        <w:spacing w:before="10"/>
        <w:rPr>
          <w:sz w:val="20"/>
        </w:rPr>
      </w:pPr>
    </w:p>
    <w:p w14:paraId="63B9CF6C"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96"/>
        <w:contextualSpacing w:val="0"/>
        <w:jc w:val="both"/>
        <w:rPr>
          <w:sz w:val="24"/>
        </w:rPr>
      </w:pPr>
      <w:r>
        <w:rPr>
          <w:sz w:val="24"/>
        </w:rPr>
        <w:t>Have processes to account for various types of contractual changes. Both parties have a clear understanding of the arrangements for any extension of the contract (both scope and time) and related</w:t>
      </w:r>
      <w:r>
        <w:rPr>
          <w:spacing w:val="-6"/>
          <w:sz w:val="24"/>
        </w:rPr>
        <w:t xml:space="preserve"> </w:t>
      </w:r>
      <w:r>
        <w:rPr>
          <w:sz w:val="24"/>
        </w:rPr>
        <w:t>issues.</w:t>
      </w:r>
    </w:p>
    <w:p w14:paraId="6A574390" w14:textId="77777777" w:rsidR="006941EE" w:rsidRDefault="006941EE" w:rsidP="006941EE">
      <w:pPr>
        <w:pStyle w:val="BodyText"/>
        <w:spacing w:before="10"/>
        <w:rPr>
          <w:sz w:val="20"/>
        </w:rPr>
      </w:pPr>
    </w:p>
    <w:p w14:paraId="30C7E9A5"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690"/>
        <w:contextualSpacing w:val="0"/>
        <w:rPr>
          <w:sz w:val="24"/>
        </w:rPr>
      </w:pPr>
      <w:r>
        <w:rPr>
          <w:sz w:val="24"/>
        </w:rPr>
        <w:t>Ensure processes are in place to handle commercial (financial) changes to the contract in a fair and structured</w:t>
      </w:r>
      <w:r>
        <w:rPr>
          <w:spacing w:val="-5"/>
          <w:sz w:val="24"/>
        </w:rPr>
        <w:t xml:space="preserve"> </w:t>
      </w:r>
      <w:r>
        <w:rPr>
          <w:sz w:val="24"/>
        </w:rPr>
        <w:t>manner.</w:t>
      </w:r>
    </w:p>
    <w:p w14:paraId="005B1BDD" w14:textId="77777777" w:rsidR="006941EE" w:rsidRDefault="006941EE" w:rsidP="006941EE">
      <w:pPr>
        <w:pStyle w:val="BodyText"/>
        <w:spacing w:before="10"/>
        <w:rPr>
          <w:sz w:val="20"/>
        </w:rPr>
      </w:pPr>
    </w:p>
    <w:p w14:paraId="42489440"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393"/>
        <w:contextualSpacing w:val="0"/>
        <w:rPr>
          <w:sz w:val="24"/>
        </w:rPr>
      </w:pPr>
      <w:r>
        <w:rPr>
          <w:sz w:val="24"/>
        </w:rPr>
        <w:t>Manage price changes fairly and effectively with the use of mechanisms such as benchmarking, competitive tendering (for example, for major additional works), or other techniques such as open book pricing as appropriate, to demonstrate value for</w:t>
      </w:r>
      <w:r>
        <w:rPr>
          <w:spacing w:val="-1"/>
          <w:sz w:val="24"/>
        </w:rPr>
        <w:t xml:space="preserve"> </w:t>
      </w:r>
      <w:r>
        <w:rPr>
          <w:sz w:val="24"/>
        </w:rPr>
        <w:t>money.</w:t>
      </w:r>
    </w:p>
    <w:p w14:paraId="756C201C" w14:textId="77777777" w:rsidR="006941EE" w:rsidRDefault="006941EE" w:rsidP="006941EE">
      <w:pPr>
        <w:pStyle w:val="BodyText"/>
        <w:spacing w:before="11"/>
        <w:rPr>
          <w:sz w:val="20"/>
        </w:rPr>
      </w:pPr>
    </w:p>
    <w:p w14:paraId="5018B7A0" w14:textId="77777777" w:rsidR="006941EE" w:rsidRDefault="006941EE" w:rsidP="006941EE">
      <w:pPr>
        <w:pStyle w:val="ListParagraph"/>
        <w:widowControl w:val="0"/>
        <w:numPr>
          <w:ilvl w:val="1"/>
          <w:numId w:val="18"/>
        </w:numPr>
        <w:tabs>
          <w:tab w:val="left" w:pos="834"/>
        </w:tabs>
        <w:autoSpaceDE w:val="0"/>
        <w:autoSpaceDN w:val="0"/>
        <w:spacing w:after="0" w:line="240" w:lineRule="auto"/>
        <w:ind w:left="833" w:right="502"/>
        <w:contextualSpacing w:val="0"/>
        <w:jc w:val="both"/>
        <w:rPr>
          <w:sz w:val="24"/>
        </w:rPr>
      </w:pPr>
      <w:r>
        <w:rPr>
          <w:sz w:val="24"/>
        </w:rPr>
        <w:t>Demonstrate their rationalisation of specifications and demand management are considered as options to achieve better value for</w:t>
      </w:r>
      <w:r>
        <w:rPr>
          <w:spacing w:val="-10"/>
          <w:sz w:val="24"/>
        </w:rPr>
        <w:t xml:space="preserve"> </w:t>
      </w:r>
      <w:r>
        <w:rPr>
          <w:sz w:val="24"/>
        </w:rPr>
        <w:t>money.</w:t>
      </w:r>
    </w:p>
    <w:p w14:paraId="5F494CDD" w14:textId="77777777" w:rsidR="006941EE" w:rsidRDefault="006941EE" w:rsidP="006941EE">
      <w:pPr>
        <w:jc w:val="both"/>
        <w:rPr>
          <w:sz w:val="24"/>
        </w:rPr>
        <w:sectPr w:rsidR="006941EE" w:rsidSect="00A7608E">
          <w:pgSz w:w="11910" w:h="16840"/>
          <w:pgMar w:top="1040" w:right="1040" w:bottom="960" w:left="1020" w:header="0" w:footer="776" w:gutter="0"/>
          <w:cols w:space="720"/>
        </w:sectPr>
      </w:pPr>
    </w:p>
    <w:p w14:paraId="1A16AF07" w14:textId="77777777" w:rsidR="006941EE" w:rsidRDefault="006941EE" w:rsidP="006941EE">
      <w:pPr>
        <w:pStyle w:val="Heading1"/>
        <w:keepNext w:val="0"/>
        <w:keepLines w:val="0"/>
        <w:widowControl w:val="0"/>
        <w:numPr>
          <w:ilvl w:val="0"/>
          <w:numId w:val="18"/>
        </w:numPr>
        <w:tabs>
          <w:tab w:val="left" w:pos="833"/>
          <w:tab w:val="left" w:pos="834"/>
        </w:tabs>
        <w:autoSpaceDE w:val="0"/>
        <w:autoSpaceDN w:val="0"/>
        <w:spacing w:before="75" w:line="240" w:lineRule="auto"/>
        <w:ind w:left="833" w:hanging="722"/>
      </w:pPr>
      <w:bookmarkStart w:id="12" w:name="_TOC_250002"/>
      <w:r>
        <w:rPr>
          <w:color w:val="0F4F75"/>
        </w:rPr>
        <w:lastRenderedPageBreak/>
        <w:t>Provider</w:t>
      </w:r>
      <w:r>
        <w:rPr>
          <w:color w:val="0F4F75"/>
          <w:spacing w:val="-3"/>
        </w:rPr>
        <w:t xml:space="preserve"> </w:t>
      </w:r>
      <w:bookmarkEnd w:id="12"/>
      <w:r>
        <w:rPr>
          <w:color w:val="0F4F75"/>
        </w:rPr>
        <w:t>development</w:t>
      </w:r>
    </w:p>
    <w:p w14:paraId="734552DE" w14:textId="77777777" w:rsidR="006941EE" w:rsidRDefault="006941EE" w:rsidP="006941EE">
      <w:pPr>
        <w:pStyle w:val="BodyText"/>
        <w:spacing w:before="241" w:line="288" w:lineRule="auto"/>
        <w:ind w:left="112" w:right="419"/>
      </w:pPr>
      <w:r>
        <w:rPr>
          <w:color w:val="0D0D0D"/>
        </w:rPr>
        <w:t>Improving provider performance and capability is key to developing the relationship with subcontractors. Lead providers must demonstrate they have:</w:t>
      </w:r>
    </w:p>
    <w:p w14:paraId="4588F8BF" w14:textId="77777777" w:rsidR="006941EE" w:rsidRDefault="006941EE" w:rsidP="006941EE">
      <w:pPr>
        <w:pStyle w:val="BodyText"/>
        <w:spacing w:before="10"/>
        <w:rPr>
          <w:sz w:val="20"/>
        </w:rPr>
      </w:pPr>
    </w:p>
    <w:p w14:paraId="32BB9905" w14:textId="77777777" w:rsidR="006941EE" w:rsidRDefault="006941EE" w:rsidP="006941EE">
      <w:pPr>
        <w:pStyle w:val="ListParagraph"/>
        <w:widowControl w:val="0"/>
        <w:numPr>
          <w:ilvl w:val="1"/>
          <w:numId w:val="18"/>
        </w:numPr>
        <w:tabs>
          <w:tab w:val="left" w:pos="901"/>
        </w:tabs>
        <w:autoSpaceDE w:val="0"/>
        <w:autoSpaceDN w:val="0"/>
        <w:spacing w:after="0" w:line="240" w:lineRule="auto"/>
        <w:ind w:right="312"/>
        <w:contextualSpacing w:val="0"/>
        <w:jc w:val="both"/>
        <w:rPr>
          <w:color w:val="0D0D0D"/>
          <w:sz w:val="24"/>
        </w:rPr>
      </w:pPr>
      <w:r>
        <w:rPr>
          <w:color w:val="0D0D0D"/>
          <w:sz w:val="24"/>
        </w:rPr>
        <w:t>Processes in place that clearly set out how provider development activities will be planned, managed, and</w:t>
      </w:r>
      <w:r>
        <w:rPr>
          <w:color w:val="0D0D0D"/>
          <w:spacing w:val="-3"/>
          <w:sz w:val="24"/>
        </w:rPr>
        <w:t xml:space="preserve"> </w:t>
      </w:r>
      <w:r>
        <w:rPr>
          <w:color w:val="0D0D0D"/>
          <w:sz w:val="24"/>
        </w:rPr>
        <w:t>governed.</w:t>
      </w:r>
    </w:p>
    <w:p w14:paraId="61EA224A" w14:textId="77777777" w:rsidR="006941EE" w:rsidRDefault="006941EE" w:rsidP="006941EE">
      <w:pPr>
        <w:pStyle w:val="BodyText"/>
        <w:spacing w:before="9"/>
        <w:rPr>
          <w:sz w:val="28"/>
        </w:rPr>
      </w:pPr>
    </w:p>
    <w:p w14:paraId="6E326A0A" w14:textId="77777777" w:rsidR="006941EE" w:rsidRDefault="006941EE" w:rsidP="006941EE">
      <w:pPr>
        <w:pStyle w:val="ListParagraph"/>
        <w:widowControl w:val="0"/>
        <w:numPr>
          <w:ilvl w:val="1"/>
          <w:numId w:val="18"/>
        </w:numPr>
        <w:tabs>
          <w:tab w:val="left" w:pos="901"/>
        </w:tabs>
        <w:autoSpaceDE w:val="0"/>
        <w:autoSpaceDN w:val="0"/>
        <w:spacing w:before="1" w:after="0" w:line="240" w:lineRule="auto"/>
        <w:ind w:right="250"/>
        <w:contextualSpacing w:val="0"/>
        <w:jc w:val="both"/>
        <w:rPr>
          <w:color w:val="0D0D0D"/>
          <w:sz w:val="24"/>
        </w:rPr>
      </w:pPr>
      <w:r>
        <w:rPr>
          <w:color w:val="0D0D0D"/>
          <w:sz w:val="24"/>
        </w:rPr>
        <w:t>Clear processes for benefits measurement and capture are in place to ensure</w:t>
      </w:r>
      <w:r>
        <w:rPr>
          <w:color w:val="0D0D0D"/>
          <w:spacing w:val="-34"/>
          <w:sz w:val="24"/>
        </w:rPr>
        <w:t xml:space="preserve"> </w:t>
      </w:r>
      <w:r>
        <w:rPr>
          <w:color w:val="0D0D0D"/>
          <w:sz w:val="24"/>
        </w:rPr>
        <w:t>that provider development is focused on continuous improvement and achieving value for the lead</w:t>
      </w:r>
      <w:r>
        <w:rPr>
          <w:color w:val="0D0D0D"/>
          <w:spacing w:val="-2"/>
          <w:sz w:val="24"/>
        </w:rPr>
        <w:t xml:space="preserve"> </w:t>
      </w:r>
      <w:r>
        <w:rPr>
          <w:color w:val="0D0D0D"/>
          <w:sz w:val="24"/>
        </w:rPr>
        <w:t>provider.</w:t>
      </w:r>
    </w:p>
    <w:p w14:paraId="1F1AF6D3" w14:textId="77777777" w:rsidR="006941EE" w:rsidRDefault="006941EE" w:rsidP="006941EE">
      <w:pPr>
        <w:pStyle w:val="BodyText"/>
        <w:spacing w:before="9"/>
        <w:rPr>
          <w:sz w:val="28"/>
        </w:rPr>
      </w:pPr>
    </w:p>
    <w:p w14:paraId="687BB36C" w14:textId="77777777" w:rsidR="006941EE" w:rsidRDefault="006941EE" w:rsidP="006941EE">
      <w:pPr>
        <w:pStyle w:val="ListParagraph"/>
        <w:widowControl w:val="0"/>
        <w:numPr>
          <w:ilvl w:val="1"/>
          <w:numId w:val="18"/>
        </w:numPr>
        <w:tabs>
          <w:tab w:val="left" w:pos="901"/>
        </w:tabs>
        <w:autoSpaceDE w:val="0"/>
        <w:autoSpaceDN w:val="0"/>
        <w:spacing w:after="0" w:line="240" w:lineRule="auto"/>
        <w:ind w:right="454"/>
        <w:contextualSpacing w:val="0"/>
        <w:rPr>
          <w:color w:val="0D0D0D"/>
          <w:sz w:val="24"/>
        </w:rPr>
      </w:pPr>
      <w:r>
        <w:rPr>
          <w:color w:val="0D0D0D"/>
          <w:sz w:val="24"/>
        </w:rPr>
        <w:t>The lead provider understands what motivates and drives the subcontractor and how provider development fits with the provider’s</w:t>
      </w:r>
      <w:r>
        <w:rPr>
          <w:color w:val="0D0D0D"/>
          <w:spacing w:val="-2"/>
          <w:sz w:val="24"/>
        </w:rPr>
        <w:t xml:space="preserve"> </w:t>
      </w:r>
      <w:r>
        <w:rPr>
          <w:color w:val="0D0D0D"/>
          <w:sz w:val="24"/>
        </w:rPr>
        <w:t>goals.</w:t>
      </w:r>
    </w:p>
    <w:p w14:paraId="6C9F2DF8" w14:textId="77777777" w:rsidR="006941EE" w:rsidRDefault="006941EE" w:rsidP="006941EE">
      <w:pPr>
        <w:pStyle w:val="BodyText"/>
        <w:spacing w:before="10"/>
        <w:rPr>
          <w:sz w:val="28"/>
        </w:rPr>
      </w:pPr>
    </w:p>
    <w:p w14:paraId="31B366F9" w14:textId="77777777" w:rsidR="006941EE" w:rsidRDefault="006941EE" w:rsidP="006941EE">
      <w:pPr>
        <w:pStyle w:val="ListParagraph"/>
        <w:widowControl w:val="0"/>
        <w:numPr>
          <w:ilvl w:val="1"/>
          <w:numId w:val="18"/>
        </w:numPr>
        <w:tabs>
          <w:tab w:val="left" w:pos="901"/>
        </w:tabs>
        <w:autoSpaceDE w:val="0"/>
        <w:autoSpaceDN w:val="0"/>
        <w:spacing w:after="0" w:line="240" w:lineRule="auto"/>
        <w:ind w:right="303"/>
        <w:contextualSpacing w:val="0"/>
        <w:rPr>
          <w:color w:val="0D0D0D"/>
          <w:sz w:val="24"/>
        </w:rPr>
      </w:pPr>
      <w:r>
        <w:rPr>
          <w:color w:val="0D0D0D"/>
          <w:sz w:val="24"/>
        </w:rPr>
        <w:t>Provider operational performance improvement activities (for example, ‘Lean’ and ‘6-sigma’), with potential input or assistance provided by the lead</w:t>
      </w:r>
      <w:r>
        <w:rPr>
          <w:color w:val="0D0D0D"/>
          <w:spacing w:val="-12"/>
          <w:sz w:val="24"/>
        </w:rPr>
        <w:t xml:space="preserve"> </w:t>
      </w:r>
      <w:r>
        <w:rPr>
          <w:color w:val="0D0D0D"/>
          <w:sz w:val="24"/>
        </w:rPr>
        <w:t>provider.</w:t>
      </w:r>
    </w:p>
    <w:p w14:paraId="4A823D3E" w14:textId="77777777" w:rsidR="006941EE" w:rsidRDefault="006941EE" w:rsidP="006941EE">
      <w:pPr>
        <w:pStyle w:val="BodyText"/>
        <w:spacing w:before="9"/>
        <w:rPr>
          <w:sz w:val="28"/>
        </w:rPr>
      </w:pPr>
    </w:p>
    <w:p w14:paraId="017444C0" w14:textId="77777777" w:rsidR="006941EE" w:rsidRDefault="006941EE" w:rsidP="006941EE">
      <w:pPr>
        <w:pStyle w:val="ListParagraph"/>
        <w:widowControl w:val="0"/>
        <w:numPr>
          <w:ilvl w:val="1"/>
          <w:numId w:val="18"/>
        </w:numPr>
        <w:tabs>
          <w:tab w:val="left" w:pos="901"/>
        </w:tabs>
        <w:autoSpaceDE w:val="0"/>
        <w:autoSpaceDN w:val="0"/>
        <w:spacing w:after="0" w:line="240" w:lineRule="auto"/>
        <w:ind w:right="378"/>
        <w:contextualSpacing w:val="0"/>
        <w:rPr>
          <w:color w:val="0D0D0D"/>
          <w:sz w:val="24"/>
        </w:rPr>
      </w:pPr>
      <w:r>
        <w:rPr>
          <w:color w:val="0D0D0D"/>
          <w:sz w:val="24"/>
        </w:rPr>
        <w:t>Joint working or shared activities between the 2 parties for the benefit of both the provider and subcontractor (for example, process improvement, shared training, task forces or joint project</w:t>
      </w:r>
      <w:r>
        <w:rPr>
          <w:color w:val="0D0D0D"/>
          <w:spacing w:val="-4"/>
          <w:sz w:val="24"/>
        </w:rPr>
        <w:t xml:space="preserve"> </w:t>
      </w:r>
      <w:r>
        <w:rPr>
          <w:color w:val="0D0D0D"/>
          <w:sz w:val="24"/>
        </w:rPr>
        <w:t>teams).</w:t>
      </w:r>
    </w:p>
    <w:p w14:paraId="647E2954" w14:textId="77777777" w:rsidR="006941EE" w:rsidRDefault="006941EE" w:rsidP="006941EE">
      <w:pPr>
        <w:pStyle w:val="BodyText"/>
        <w:spacing w:before="9"/>
        <w:rPr>
          <w:sz w:val="28"/>
        </w:rPr>
      </w:pPr>
    </w:p>
    <w:p w14:paraId="57046278" w14:textId="77777777" w:rsidR="006941EE" w:rsidRDefault="006941EE" w:rsidP="006941EE">
      <w:pPr>
        <w:pStyle w:val="ListParagraph"/>
        <w:widowControl w:val="0"/>
        <w:numPr>
          <w:ilvl w:val="1"/>
          <w:numId w:val="18"/>
        </w:numPr>
        <w:tabs>
          <w:tab w:val="left" w:pos="901"/>
        </w:tabs>
        <w:autoSpaceDE w:val="0"/>
        <w:autoSpaceDN w:val="0"/>
        <w:spacing w:after="0" w:line="240" w:lineRule="auto"/>
        <w:ind w:right="249"/>
        <w:contextualSpacing w:val="0"/>
        <w:rPr>
          <w:color w:val="0D0D0D"/>
          <w:sz w:val="24"/>
        </w:rPr>
      </w:pPr>
      <w:r>
        <w:rPr>
          <w:color w:val="0D0D0D"/>
          <w:sz w:val="24"/>
        </w:rPr>
        <w:t>Provider improvement activities relating to wider government initiatives, with input or assistance provided by the lead provider (for example, on sustainability, disability employment issues, use of SMEs (Small and Medium Sized Enterprises) and BMEs (Black Minority Ethnic</w:t>
      </w:r>
      <w:r>
        <w:rPr>
          <w:color w:val="0D0D0D"/>
          <w:spacing w:val="-5"/>
          <w:sz w:val="24"/>
        </w:rPr>
        <w:t xml:space="preserve"> </w:t>
      </w:r>
      <w:r>
        <w:rPr>
          <w:color w:val="0D0D0D"/>
          <w:sz w:val="24"/>
        </w:rPr>
        <w:t>suppliers)).</w:t>
      </w:r>
    </w:p>
    <w:p w14:paraId="5E426A90" w14:textId="77777777" w:rsidR="006941EE" w:rsidRDefault="006941EE" w:rsidP="006941EE">
      <w:pPr>
        <w:pStyle w:val="BodyText"/>
        <w:spacing w:before="10"/>
        <w:rPr>
          <w:sz w:val="28"/>
        </w:rPr>
      </w:pPr>
    </w:p>
    <w:p w14:paraId="34FEEF67" w14:textId="77777777" w:rsidR="006941EE" w:rsidRDefault="006941EE" w:rsidP="006941EE">
      <w:pPr>
        <w:pStyle w:val="ListParagraph"/>
        <w:widowControl w:val="0"/>
        <w:numPr>
          <w:ilvl w:val="1"/>
          <w:numId w:val="18"/>
        </w:numPr>
        <w:tabs>
          <w:tab w:val="left" w:pos="901"/>
        </w:tabs>
        <w:autoSpaceDE w:val="0"/>
        <w:autoSpaceDN w:val="0"/>
        <w:spacing w:after="0" w:line="240" w:lineRule="auto"/>
        <w:ind w:hanging="361"/>
        <w:contextualSpacing w:val="0"/>
        <w:rPr>
          <w:color w:val="0D0D0D"/>
          <w:sz w:val="24"/>
        </w:rPr>
      </w:pPr>
      <w:r>
        <w:rPr>
          <w:color w:val="0D0D0D"/>
          <w:sz w:val="24"/>
        </w:rPr>
        <w:t>Shared risk reduction programmes or</w:t>
      </w:r>
      <w:r>
        <w:rPr>
          <w:color w:val="0D0D0D"/>
          <w:spacing w:val="-6"/>
          <w:sz w:val="24"/>
        </w:rPr>
        <w:t xml:space="preserve"> </w:t>
      </w:r>
      <w:r>
        <w:rPr>
          <w:color w:val="0D0D0D"/>
          <w:sz w:val="24"/>
        </w:rPr>
        <w:t>activities.</w:t>
      </w:r>
    </w:p>
    <w:p w14:paraId="33331B22" w14:textId="77777777" w:rsidR="006941EE" w:rsidRDefault="006941EE" w:rsidP="006941EE">
      <w:pPr>
        <w:pStyle w:val="BodyText"/>
        <w:spacing w:before="9"/>
        <w:rPr>
          <w:sz w:val="28"/>
        </w:rPr>
      </w:pPr>
    </w:p>
    <w:p w14:paraId="4AA4C397" w14:textId="77777777" w:rsidR="006941EE" w:rsidRDefault="006941EE" w:rsidP="006941EE">
      <w:pPr>
        <w:pStyle w:val="ListParagraph"/>
        <w:widowControl w:val="0"/>
        <w:numPr>
          <w:ilvl w:val="1"/>
          <w:numId w:val="18"/>
        </w:numPr>
        <w:tabs>
          <w:tab w:val="left" w:pos="901"/>
        </w:tabs>
        <w:autoSpaceDE w:val="0"/>
        <w:autoSpaceDN w:val="0"/>
        <w:spacing w:after="0" w:line="240" w:lineRule="auto"/>
        <w:ind w:right="1579"/>
        <w:contextualSpacing w:val="0"/>
        <w:rPr>
          <w:color w:val="0D0D0D"/>
          <w:sz w:val="24"/>
        </w:rPr>
      </w:pPr>
      <w:r>
        <w:rPr>
          <w:color w:val="0D0D0D"/>
          <w:sz w:val="24"/>
        </w:rPr>
        <w:t>Shared management activities (for example, provider boards) to drive performance</w:t>
      </w:r>
      <w:r>
        <w:rPr>
          <w:color w:val="0D0D0D"/>
          <w:spacing w:val="-1"/>
          <w:sz w:val="24"/>
        </w:rPr>
        <w:t xml:space="preserve"> </w:t>
      </w:r>
      <w:r>
        <w:rPr>
          <w:color w:val="0D0D0D"/>
          <w:sz w:val="24"/>
        </w:rPr>
        <w:t>improvement.</w:t>
      </w:r>
    </w:p>
    <w:p w14:paraId="2DF04256" w14:textId="77777777" w:rsidR="006941EE" w:rsidRDefault="006941EE" w:rsidP="006941EE">
      <w:pPr>
        <w:rPr>
          <w:sz w:val="24"/>
        </w:rPr>
        <w:sectPr w:rsidR="006941EE" w:rsidSect="00A7608E">
          <w:pgSz w:w="11910" w:h="16840"/>
          <w:pgMar w:top="1040" w:right="1040" w:bottom="960" w:left="1020" w:header="0" w:footer="776" w:gutter="0"/>
          <w:cols w:space="720"/>
        </w:sectPr>
      </w:pPr>
    </w:p>
    <w:p w14:paraId="752DA5D8" w14:textId="77777777" w:rsidR="006941EE" w:rsidRDefault="006941EE" w:rsidP="006941EE">
      <w:pPr>
        <w:pStyle w:val="Heading1"/>
        <w:ind w:left="112"/>
      </w:pPr>
      <w:bookmarkStart w:id="13" w:name="_TOC_250001"/>
      <w:bookmarkEnd w:id="13"/>
      <w:r>
        <w:rPr>
          <w:color w:val="0F4F75"/>
        </w:rPr>
        <w:lastRenderedPageBreak/>
        <w:t>Annex A – Reporting requirements</w:t>
      </w:r>
    </w:p>
    <w:p w14:paraId="7340500B" w14:textId="77777777" w:rsidR="006941EE" w:rsidRDefault="006941EE" w:rsidP="006941EE">
      <w:pPr>
        <w:pStyle w:val="BodyText"/>
        <w:spacing w:before="241"/>
        <w:ind w:left="112" w:right="311"/>
      </w:pPr>
      <w:r>
        <w:t xml:space="preserve">Separate guidance for auditors will be issued in </w:t>
      </w:r>
      <w:r w:rsidR="00CD06D2">
        <w:t>2022</w:t>
      </w:r>
      <w:r>
        <w:t xml:space="preserve"> and appended to future versions of this guidance.</w:t>
      </w:r>
    </w:p>
    <w:p w14:paraId="054BAA83" w14:textId="77777777" w:rsidR="006941EE" w:rsidRDefault="006941EE" w:rsidP="006941EE">
      <w:pPr>
        <w:pStyle w:val="BodyText"/>
        <w:spacing w:before="10"/>
        <w:rPr>
          <w:sz w:val="20"/>
        </w:rPr>
      </w:pPr>
    </w:p>
    <w:p w14:paraId="42D92873" w14:textId="77777777" w:rsidR="006941EE" w:rsidRDefault="006941EE" w:rsidP="006941EE">
      <w:pPr>
        <w:pStyle w:val="BodyText"/>
        <w:ind w:left="112" w:right="740"/>
      </w:pPr>
      <w:r>
        <w:t xml:space="preserve">Each reporting auditor can use their own </w:t>
      </w:r>
      <w:proofErr w:type="spellStart"/>
      <w:r>
        <w:t>stylised</w:t>
      </w:r>
      <w:proofErr w:type="spellEnd"/>
      <w:r>
        <w:t xml:space="preserve"> </w:t>
      </w:r>
      <w:proofErr w:type="gramStart"/>
      <w:r>
        <w:t>report,</w:t>
      </w:r>
      <w:proofErr w:type="gramEnd"/>
      <w:r>
        <w:t xml:space="preserve"> however, it must include the following as a minimum:</w:t>
      </w:r>
    </w:p>
    <w:p w14:paraId="1FF19AD9" w14:textId="77777777" w:rsidR="006941EE" w:rsidRDefault="006941EE" w:rsidP="006941EE">
      <w:pPr>
        <w:pStyle w:val="BodyText"/>
        <w:spacing w:before="11"/>
        <w:rPr>
          <w:sz w:val="20"/>
        </w:rPr>
      </w:pPr>
    </w:p>
    <w:p w14:paraId="12CE2CDC" w14:textId="77777777" w:rsidR="006941EE" w:rsidRDefault="006941EE" w:rsidP="006941EE">
      <w:pPr>
        <w:pStyle w:val="ListParagraph"/>
        <w:widowControl w:val="0"/>
        <w:numPr>
          <w:ilvl w:val="0"/>
          <w:numId w:val="15"/>
        </w:numPr>
        <w:tabs>
          <w:tab w:val="left" w:pos="833"/>
          <w:tab w:val="left" w:pos="834"/>
        </w:tabs>
        <w:autoSpaceDE w:val="0"/>
        <w:autoSpaceDN w:val="0"/>
        <w:spacing w:after="0" w:line="240" w:lineRule="auto"/>
        <w:ind w:hanging="361"/>
        <w:contextualSpacing w:val="0"/>
        <w:rPr>
          <w:rFonts w:ascii="Symbol" w:hAnsi="Symbol"/>
          <w:sz w:val="24"/>
        </w:rPr>
      </w:pPr>
      <w:r>
        <w:rPr>
          <w:sz w:val="24"/>
        </w:rPr>
        <w:t>name and contact details of the organisation and auditor undertaking the</w:t>
      </w:r>
      <w:r>
        <w:rPr>
          <w:spacing w:val="-24"/>
          <w:sz w:val="24"/>
        </w:rPr>
        <w:t xml:space="preserve"> </w:t>
      </w:r>
      <w:r>
        <w:rPr>
          <w:sz w:val="24"/>
        </w:rPr>
        <w:t>audit</w:t>
      </w:r>
    </w:p>
    <w:p w14:paraId="0A9BA5FA" w14:textId="77777777" w:rsidR="006941EE" w:rsidRDefault="006941EE" w:rsidP="006941EE">
      <w:pPr>
        <w:pStyle w:val="ListParagraph"/>
        <w:widowControl w:val="0"/>
        <w:numPr>
          <w:ilvl w:val="0"/>
          <w:numId w:val="15"/>
        </w:numPr>
        <w:tabs>
          <w:tab w:val="left" w:pos="833"/>
          <w:tab w:val="left" w:pos="834"/>
        </w:tabs>
        <w:autoSpaceDE w:val="0"/>
        <w:autoSpaceDN w:val="0"/>
        <w:spacing w:before="239" w:after="0" w:line="240" w:lineRule="auto"/>
        <w:ind w:hanging="361"/>
        <w:contextualSpacing w:val="0"/>
        <w:rPr>
          <w:rFonts w:ascii="Symbol" w:hAnsi="Symbol"/>
          <w:sz w:val="24"/>
        </w:rPr>
      </w:pPr>
      <w:r>
        <w:rPr>
          <w:sz w:val="24"/>
        </w:rPr>
        <w:t>name of the provider being audited and the provider audit</w:t>
      </w:r>
      <w:r>
        <w:rPr>
          <w:spacing w:val="-12"/>
          <w:sz w:val="24"/>
        </w:rPr>
        <w:t xml:space="preserve"> </w:t>
      </w:r>
      <w:r>
        <w:rPr>
          <w:sz w:val="24"/>
        </w:rPr>
        <w:t>contact</w:t>
      </w:r>
    </w:p>
    <w:p w14:paraId="103B2830" w14:textId="77777777" w:rsidR="006941EE" w:rsidRDefault="006941EE" w:rsidP="006941EE">
      <w:pPr>
        <w:pStyle w:val="ListParagraph"/>
        <w:widowControl w:val="0"/>
        <w:numPr>
          <w:ilvl w:val="0"/>
          <w:numId w:val="15"/>
        </w:numPr>
        <w:tabs>
          <w:tab w:val="left" w:pos="833"/>
          <w:tab w:val="left" w:pos="834"/>
        </w:tabs>
        <w:autoSpaceDE w:val="0"/>
        <w:autoSpaceDN w:val="0"/>
        <w:spacing w:before="236" w:after="0" w:line="240" w:lineRule="auto"/>
        <w:ind w:hanging="361"/>
        <w:contextualSpacing w:val="0"/>
        <w:rPr>
          <w:rFonts w:ascii="Symbol" w:hAnsi="Symbol"/>
          <w:sz w:val="24"/>
        </w:rPr>
      </w:pPr>
      <w:r>
        <w:rPr>
          <w:sz w:val="24"/>
        </w:rPr>
        <w:t>funding year applicable to the</w:t>
      </w:r>
      <w:r>
        <w:rPr>
          <w:spacing w:val="-5"/>
          <w:sz w:val="24"/>
        </w:rPr>
        <w:t xml:space="preserve"> </w:t>
      </w:r>
      <w:r>
        <w:rPr>
          <w:sz w:val="24"/>
        </w:rPr>
        <w:t>review</w:t>
      </w:r>
    </w:p>
    <w:p w14:paraId="48816E09" w14:textId="77777777" w:rsidR="006941EE" w:rsidRDefault="006941EE" w:rsidP="006941EE">
      <w:pPr>
        <w:pStyle w:val="ListParagraph"/>
        <w:widowControl w:val="0"/>
        <w:numPr>
          <w:ilvl w:val="0"/>
          <w:numId w:val="15"/>
        </w:numPr>
        <w:tabs>
          <w:tab w:val="left" w:pos="833"/>
          <w:tab w:val="left" w:pos="834"/>
        </w:tabs>
        <w:autoSpaceDE w:val="0"/>
        <w:autoSpaceDN w:val="0"/>
        <w:spacing w:before="239" w:after="0" w:line="240" w:lineRule="auto"/>
        <w:ind w:hanging="361"/>
        <w:contextualSpacing w:val="0"/>
        <w:rPr>
          <w:rFonts w:ascii="Symbol" w:hAnsi="Symbol"/>
          <w:sz w:val="24"/>
        </w:rPr>
      </w:pPr>
      <w:r>
        <w:rPr>
          <w:sz w:val="24"/>
        </w:rPr>
        <w:t>date the review was undertaken and</w:t>
      </w:r>
      <w:r>
        <w:rPr>
          <w:spacing w:val="-5"/>
          <w:sz w:val="24"/>
        </w:rPr>
        <w:t xml:space="preserve"> </w:t>
      </w:r>
      <w:r>
        <w:rPr>
          <w:sz w:val="24"/>
        </w:rPr>
        <w:t>concluded</w:t>
      </w:r>
    </w:p>
    <w:p w14:paraId="28673CBE" w14:textId="77777777" w:rsidR="006941EE" w:rsidRDefault="006941EE" w:rsidP="006941EE">
      <w:pPr>
        <w:pStyle w:val="ListParagraph"/>
        <w:widowControl w:val="0"/>
        <w:numPr>
          <w:ilvl w:val="0"/>
          <w:numId w:val="15"/>
        </w:numPr>
        <w:tabs>
          <w:tab w:val="left" w:pos="833"/>
          <w:tab w:val="left" w:pos="834"/>
        </w:tabs>
        <w:autoSpaceDE w:val="0"/>
        <w:autoSpaceDN w:val="0"/>
        <w:spacing w:before="239" w:after="0" w:line="240" w:lineRule="auto"/>
        <w:ind w:hanging="361"/>
        <w:contextualSpacing w:val="0"/>
        <w:rPr>
          <w:rFonts w:ascii="Symbol" w:hAnsi="Symbol"/>
          <w:sz w:val="24"/>
        </w:rPr>
      </w:pPr>
      <w:r>
        <w:rPr>
          <w:sz w:val="24"/>
        </w:rPr>
        <w:t>report status [Draft]</w:t>
      </w:r>
      <w:r>
        <w:rPr>
          <w:spacing w:val="-5"/>
          <w:sz w:val="24"/>
        </w:rPr>
        <w:t xml:space="preserve"> </w:t>
      </w:r>
      <w:r>
        <w:rPr>
          <w:sz w:val="24"/>
        </w:rPr>
        <w:t>[Final]</w:t>
      </w:r>
    </w:p>
    <w:p w14:paraId="1B9206F6" w14:textId="77777777" w:rsidR="006941EE" w:rsidRDefault="006941EE" w:rsidP="006941EE">
      <w:pPr>
        <w:pStyle w:val="ListParagraph"/>
        <w:widowControl w:val="0"/>
        <w:numPr>
          <w:ilvl w:val="0"/>
          <w:numId w:val="15"/>
        </w:numPr>
        <w:tabs>
          <w:tab w:val="left" w:pos="833"/>
          <w:tab w:val="left" w:pos="834"/>
        </w:tabs>
        <w:autoSpaceDE w:val="0"/>
        <w:autoSpaceDN w:val="0"/>
        <w:spacing w:before="239" w:after="0" w:line="240" w:lineRule="auto"/>
        <w:ind w:hanging="361"/>
        <w:contextualSpacing w:val="0"/>
        <w:rPr>
          <w:rFonts w:ascii="Symbol" w:hAnsi="Symbol"/>
          <w:sz w:val="24"/>
        </w:rPr>
      </w:pPr>
      <w:r>
        <w:rPr>
          <w:sz w:val="24"/>
        </w:rPr>
        <w:t>table of</w:t>
      </w:r>
      <w:r>
        <w:rPr>
          <w:spacing w:val="-3"/>
          <w:sz w:val="24"/>
        </w:rPr>
        <w:t xml:space="preserve"> </w:t>
      </w:r>
      <w:r>
        <w:rPr>
          <w:sz w:val="24"/>
        </w:rPr>
        <w:t>contents</w:t>
      </w:r>
    </w:p>
    <w:p w14:paraId="4C21DF36" w14:textId="77777777" w:rsidR="006941EE" w:rsidRDefault="006941EE" w:rsidP="006941EE">
      <w:pPr>
        <w:pStyle w:val="ListParagraph"/>
        <w:widowControl w:val="0"/>
        <w:numPr>
          <w:ilvl w:val="0"/>
          <w:numId w:val="15"/>
        </w:numPr>
        <w:tabs>
          <w:tab w:val="left" w:pos="833"/>
          <w:tab w:val="left" w:pos="834"/>
        </w:tabs>
        <w:autoSpaceDE w:val="0"/>
        <w:autoSpaceDN w:val="0"/>
        <w:spacing w:before="236" w:after="0" w:line="240" w:lineRule="auto"/>
        <w:ind w:right="935"/>
        <w:contextualSpacing w:val="0"/>
        <w:rPr>
          <w:rFonts w:ascii="Symbol" w:hAnsi="Symbol"/>
          <w:sz w:val="24"/>
        </w:rPr>
      </w:pPr>
      <w:r>
        <w:rPr>
          <w:sz w:val="24"/>
        </w:rPr>
        <w:t>executive summary / Summary of findings linked to the standard in a tabular format:</w:t>
      </w:r>
    </w:p>
    <w:p w14:paraId="4A7CFE46" w14:textId="77777777" w:rsidR="006941EE" w:rsidRDefault="006941EE" w:rsidP="006941EE">
      <w:pPr>
        <w:pStyle w:val="BodyText"/>
        <w:spacing w:before="8"/>
        <w:rPr>
          <w:sz w:val="20"/>
        </w:rPr>
      </w:pPr>
    </w:p>
    <w:p w14:paraId="38338D3C" w14:textId="77777777" w:rsidR="006941EE" w:rsidRDefault="006941EE" w:rsidP="006941EE">
      <w:pPr>
        <w:pStyle w:val="ListParagraph"/>
        <w:widowControl w:val="0"/>
        <w:numPr>
          <w:ilvl w:val="1"/>
          <w:numId w:val="15"/>
        </w:numPr>
        <w:tabs>
          <w:tab w:val="left" w:pos="1554"/>
        </w:tabs>
        <w:autoSpaceDE w:val="0"/>
        <w:autoSpaceDN w:val="0"/>
        <w:spacing w:before="1" w:after="0" w:line="240" w:lineRule="auto"/>
        <w:ind w:hanging="361"/>
        <w:contextualSpacing w:val="0"/>
        <w:rPr>
          <w:sz w:val="24"/>
        </w:rPr>
      </w:pPr>
      <w:r>
        <w:rPr>
          <w:sz w:val="24"/>
        </w:rPr>
        <w:t>subcontracting standard</w:t>
      </w:r>
      <w:r>
        <w:rPr>
          <w:spacing w:val="-1"/>
          <w:sz w:val="24"/>
        </w:rPr>
        <w:t xml:space="preserve"> </w:t>
      </w:r>
      <w:r>
        <w:rPr>
          <w:sz w:val="24"/>
        </w:rPr>
        <w:t>requirements</w:t>
      </w:r>
    </w:p>
    <w:p w14:paraId="2CBE0D6A" w14:textId="77777777" w:rsidR="006941EE" w:rsidRDefault="006941EE" w:rsidP="006941EE">
      <w:pPr>
        <w:pStyle w:val="ListParagraph"/>
        <w:widowControl w:val="0"/>
        <w:numPr>
          <w:ilvl w:val="1"/>
          <w:numId w:val="15"/>
        </w:numPr>
        <w:tabs>
          <w:tab w:val="left" w:pos="1554"/>
        </w:tabs>
        <w:autoSpaceDE w:val="0"/>
        <w:autoSpaceDN w:val="0"/>
        <w:spacing w:before="218" w:after="0" w:line="240" w:lineRule="auto"/>
        <w:ind w:hanging="361"/>
        <w:contextualSpacing w:val="0"/>
        <w:rPr>
          <w:sz w:val="24"/>
        </w:rPr>
      </w:pPr>
      <w:r>
        <w:rPr>
          <w:sz w:val="24"/>
        </w:rPr>
        <w:t>compliance</w:t>
      </w:r>
      <w:r>
        <w:rPr>
          <w:spacing w:val="-1"/>
          <w:sz w:val="24"/>
        </w:rPr>
        <w:t xml:space="preserve"> </w:t>
      </w:r>
      <w:r>
        <w:rPr>
          <w:sz w:val="24"/>
        </w:rPr>
        <w:t>status</w:t>
      </w:r>
    </w:p>
    <w:p w14:paraId="12157473" w14:textId="77777777" w:rsidR="006941EE" w:rsidRDefault="006941EE" w:rsidP="006941EE">
      <w:pPr>
        <w:pStyle w:val="ListParagraph"/>
        <w:widowControl w:val="0"/>
        <w:numPr>
          <w:ilvl w:val="1"/>
          <w:numId w:val="15"/>
        </w:numPr>
        <w:tabs>
          <w:tab w:val="left" w:pos="1554"/>
        </w:tabs>
        <w:autoSpaceDE w:val="0"/>
        <w:autoSpaceDN w:val="0"/>
        <w:spacing w:before="219" w:after="0" w:line="240" w:lineRule="auto"/>
        <w:ind w:hanging="361"/>
        <w:contextualSpacing w:val="0"/>
        <w:rPr>
          <w:sz w:val="24"/>
        </w:rPr>
      </w:pPr>
      <w:r>
        <w:rPr>
          <w:sz w:val="24"/>
        </w:rPr>
        <w:t>number of recommendations raised;</w:t>
      </w:r>
      <w:r>
        <w:rPr>
          <w:spacing w:val="-2"/>
          <w:sz w:val="24"/>
        </w:rPr>
        <w:t xml:space="preserve"> </w:t>
      </w:r>
      <w:r>
        <w:rPr>
          <w:sz w:val="24"/>
        </w:rPr>
        <w:t>and</w:t>
      </w:r>
    </w:p>
    <w:p w14:paraId="5C212A8E" w14:textId="77777777" w:rsidR="006941EE" w:rsidRDefault="006941EE" w:rsidP="006941EE">
      <w:pPr>
        <w:pStyle w:val="ListParagraph"/>
        <w:widowControl w:val="0"/>
        <w:numPr>
          <w:ilvl w:val="1"/>
          <w:numId w:val="15"/>
        </w:numPr>
        <w:tabs>
          <w:tab w:val="left" w:pos="1554"/>
        </w:tabs>
        <w:autoSpaceDE w:val="0"/>
        <w:autoSpaceDN w:val="0"/>
        <w:spacing w:before="219" w:after="0" w:line="240" w:lineRule="auto"/>
        <w:ind w:hanging="361"/>
        <w:contextualSpacing w:val="0"/>
        <w:rPr>
          <w:sz w:val="24"/>
        </w:rPr>
      </w:pPr>
      <w:r>
        <w:rPr>
          <w:sz w:val="24"/>
        </w:rPr>
        <w:t>summary of findings</w:t>
      </w:r>
    </w:p>
    <w:p w14:paraId="7F6A6E10" w14:textId="77777777" w:rsidR="006941EE" w:rsidRDefault="006941EE" w:rsidP="006941EE">
      <w:pPr>
        <w:pStyle w:val="ListParagraph"/>
        <w:widowControl w:val="0"/>
        <w:numPr>
          <w:ilvl w:val="0"/>
          <w:numId w:val="15"/>
        </w:numPr>
        <w:tabs>
          <w:tab w:val="left" w:pos="833"/>
          <w:tab w:val="left" w:pos="834"/>
        </w:tabs>
        <w:autoSpaceDE w:val="0"/>
        <w:autoSpaceDN w:val="0"/>
        <w:spacing w:before="220" w:after="0" w:line="240" w:lineRule="auto"/>
        <w:ind w:hanging="361"/>
        <w:contextualSpacing w:val="0"/>
        <w:rPr>
          <w:rFonts w:ascii="Symbol" w:hAnsi="Symbol"/>
          <w:sz w:val="24"/>
        </w:rPr>
      </w:pPr>
      <w:r>
        <w:rPr>
          <w:sz w:val="24"/>
        </w:rPr>
        <w:t>agreed objectives and scope of</w:t>
      </w:r>
      <w:r>
        <w:rPr>
          <w:spacing w:val="-9"/>
          <w:sz w:val="24"/>
        </w:rPr>
        <w:t xml:space="preserve"> </w:t>
      </w:r>
      <w:r>
        <w:rPr>
          <w:sz w:val="24"/>
        </w:rPr>
        <w:t>work</w:t>
      </w:r>
    </w:p>
    <w:p w14:paraId="310D4BE8" w14:textId="77777777" w:rsidR="006941EE" w:rsidRDefault="006941EE" w:rsidP="006941EE">
      <w:pPr>
        <w:pStyle w:val="ListParagraph"/>
        <w:widowControl w:val="0"/>
        <w:numPr>
          <w:ilvl w:val="0"/>
          <w:numId w:val="15"/>
        </w:numPr>
        <w:tabs>
          <w:tab w:val="left" w:pos="833"/>
          <w:tab w:val="left" w:pos="834"/>
        </w:tabs>
        <w:autoSpaceDE w:val="0"/>
        <w:autoSpaceDN w:val="0"/>
        <w:spacing w:before="239" w:after="0" w:line="240" w:lineRule="auto"/>
        <w:ind w:hanging="361"/>
        <w:contextualSpacing w:val="0"/>
        <w:rPr>
          <w:rFonts w:ascii="Symbol" w:hAnsi="Symbol"/>
          <w:sz w:val="24"/>
        </w:rPr>
      </w:pPr>
      <w:r>
        <w:rPr>
          <w:sz w:val="24"/>
        </w:rPr>
        <w:t>approach</w:t>
      </w:r>
    </w:p>
    <w:p w14:paraId="6625D2EE" w14:textId="77777777" w:rsidR="006941EE" w:rsidRDefault="006941EE" w:rsidP="006941EE">
      <w:pPr>
        <w:pStyle w:val="ListParagraph"/>
        <w:widowControl w:val="0"/>
        <w:numPr>
          <w:ilvl w:val="0"/>
          <w:numId w:val="15"/>
        </w:numPr>
        <w:tabs>
          <w:tab w:val="left" w:pos="833"/>
          <w:tab w:val="left" w:pos="834"/>
        </w:tabs>
        <w:autoSpaceDE w:val="0"/>
        <w:autoSpaceDN w:val="0"/>
        <w:spacing w:before="236" w:after="0" w:line="240" w:lineRule="auto"/>
        <w:ind w:right="582"/>
        <w:contextualSpacing w:val="0"/>
        <w:rPr>
          <w:rFonts w:ascii="Symbol" w:hAnsi="Symbol"/>
          <w:sz w:val="24"/>
        </w:rPr>
      </w:pPr>
      <w:r>
        <w:rPr>
          <w:sz w:val="24"/>
        </w:rPr>
        <w:t>detailed findings and recommendations linked to each point of the standard in a tabular format with the following</w:t>
      </w:r>
      <w:r>
        <w:rPr>
          <w:spacing w:val="-5"/>
          <w:sz w:val="24"/>
        </w:rPr>
        <w:t xml:space="preserve"> </w:t>
      </w:r>
      <w:r>
        <w:rPr>
          <w:sz w:val="24"/>
        </w:rPr>
        <w:t>headings:</w:t>
      </w:r>
    </w:p>
    <w:p w14:paraId="5419D185" w14:textId="77777777" w:rsidR="006941EE" w:rsidRDefault="006941EE" w:rsidP="006941EE">
      <w:pPr>
        <w:pStyle w:val="BodyText"/>
        <w:spacing w:before="8"/>
        <w:rPr>
          <w:sz w:val="20"/>
        </w:rPr>
      </w:pPr>
    </w:p>
    <w:p w14:paraId="7D87CC14" w14:textId="77777777" w:rsidR="006941EE" w:rsidRDefault="006941EE" w:rsidP="006941EE">
      <w:pPr>
        <w:pStyle w:val="ListParagraph"/>
        <w:widowControl w:val="0"/>
        <w:numPr>
          <w:ilvl w:val="1"/>
          <w:numId w:val="15"/>
        </w:numPr>
        <w:tabs>
          <w:tab w:val="left" w:pos="1554"/>
        </w:tabs>
        <w:autoSpaceDE w:val="0"/>
        <w:autoSpaceDN w:val="0"/>
        <w:spacing w:after="0" w:line="240" w:lineRule="auto"/>
        <w:ind w:hanging="361"/>
        <w:contextualSpacing w:val="0"/>
        <w:rPr>
          <w:sz w:val="24"/>
        </w:rPr>
      </w:pPr>
      <w:r>
        <w:rPr>
          <w:sz w:val="24"/>
        </w:rPr>
        <w:t>area of standard</w:t>
      </w:r>
    </w:p>
    <w:p w14:paraId="5DAD29A1" w14:textId="77777777" w:rsidR="006941EE" w:rsidRDefault="006941EE" w:rsidP="006941EE">
      <w:pPr>
        <w:pStyle w:val="ListParagraph"/>
        <w:widowControl w:val="0"/>
        <w:numPr>
          <w:ilvl w:val="1"/>
          <w:numId w:val="15"/>
        </w:numPr>
        <w:tabs>
          <w:tab w:val="left" w:pos="1554"/>
        </w:tabs>
        <w:autoSpaceDE w:val="0"/>
        <w:autoSpaceDN w:val="0"/>
        <w:spacing w:before="219" w:after="0" w:line="240" w:lineRule="auto"/>
        <w:ind w:hanging="361"/>
        <w:contextualSpacing w:val="0"/>
        <w:rPr>
          <w:sz w:val="24"/>
        </w:rPr>
      </w:pPr>
      <w:r>
        <w:rPr>
          <w:sz w:val="24"/>
        </w:rPr>
        <w:t>findings / observations /</w:t>
      </w:r>
      <w:r>
        <w:rPr>
          <w:spacing w:val="-6"/>
          <w:sz w:val="24"/>
        </w:rPr>
        <w:t xml:space="preserve"> </w:t>
      </w:r>
      <w:r>
        <w:rPr>
          <w:sz w:val="24"/>
        </w:rPr>
        <w:t>issues</w:t>
      </w:r>
    </w:p>
    <w:p w14:paraId="5722E3D2" w14:textId="77777777" w:rsidR="006941EE" w:rsidRDefault="006941EE" w:rsidP="006941EE">
      <w:pPr>
        <w:pStyle w:val="ListParagraph"/>
        <w:widowControl w:val="0"/>
        <w:numPr>
          <w:ilvl w:val="1"/>
          <w:numId w:val="15"/>
        </w:numPr>
        <w:tabs>
          <w:tab w:val="left" w:pos="1554"/>
        </w:tabs>
        <w:autoSpaceDE w:val="0"/>
        <w:autoSpaceDN w:val="0"/>
        <w:spacing w:before="219" w:after="0" w:line="240" w:lineRule="auto"/>
        <w:ind w:hanging="361"/>
        <w:contextualSpacing w:val="0"/>
        <w:rPr>
          <w:sz w:val="24"/>
        </w:rPr>
      </w:pPr>
      <w:r>
        <w:rPr>
          <w:sz w:val="24"/>
        </w:rPr>
        <w:t>risk /</w:t>
      </w:r>
      <w:r>
        <w:rPr>
          <w:spacing w:val="-2"/>
          <w:sz w:val="24"/>
        </w:rPr>
        <w:t xml:space="preserve"> </w:t>
      </w:r>
      <w:r>
        <w:rPr>
          <w:sz w:val="24"/>
        </w:rPr>
        <w:t>implications</w:t>
      </w:r>
    </w:p>
    <w:p w14:paraId="708AE36D" w14:textId="77777777" w:rsidR="006941EE" w:rsidRDefault="006941EE" w:rsidP="006941EE">
      <w:pPr>
        <w:pStyle w:val="ListParagraph"/>
        <w:widowControl w:val="0"/>
        <w:numPr>
          <w:ilvl w:val="1"/>
          <w:numId w:val="15"/>
        </w:numPr>
        <w:tabs>
          <w:tab w:val="left" w:pos="1554"/>
        </w:tabs>
        <w:autoSpaceDE w:val="0"/>
        <w:autoSpaceDN w:val="0"/>
        <w:spacing w:before="219" w:after="0" w:line="240" w:lineRule="auto"/>
        <w:ind w:hanging="361"/>
        <w:contextualSpacing w:val="0"/>
        <w:rPr>
          <w:sz w:val="24"/>
        </w:rPr>
      </w:pPr>
      <w:r>
        <w:rPr>
          <w:sz w:val="24"/>
        </w:rPr>
        <w:t>recommendations</w:t>
      </w:r>
    </w:p>
    <w:p w14:paraId="1B43BB45" w14:textId="77777777" w:rsidR="006941EE" w:rsidRDefault="006941EE" w:rsidP="006941EE">
      <w:pPr>
        <w:pStyle w:val="ListParagraph"/>
        <w:widowControl w:val="0"/>
        <w:numPr>
          <w:ilvl w:val="1"/>
          <w:numId w:val="15"/>
        </w:numPr>
        <w:tabs>
          <w:tab w:val="left" w:pos="1554"/>
        </w:tabs>
        <w:autoSpaceDE w:val="0"/>
        <w:autoSpaceDN w:val="0"/>
        <w:spacing w:before="219" w:after="0" w:line="240" w:lineRule="auto"/>
        <w:ind w:hanging="361"/>
        <w:contextualSpacing w:val="0"/>
        <w:rPr>
          <w:sz w:val="24"/>
        </w:rPr>
      </w:pPr>
      <w:r>
        <w:rPr>
          <w:sz w:val="24"/>
        </w:rPr>
        <w:t>compliance</w:t>
      </w:r>
      <w:r>
        <w:rPr>
          <w:spacing w:val="-5"/>
          <w:sz w:val="24"/>
        </w:rPr>
        <w:t xml:space="preserve"> </w:t>
      </w:r>
      <w:r>
        <w:rPr>
          <w:sz w:val="24"/>
        </w:rPr>
        <w:t>rating</w:t>
      </w:r>
    </w:p>
    <w:p w14:paraId="1074047C" w14:textId="77777777" w:rsidR="006941EE" w:rsidRDefault="006941EE" w:rsidP="006941EE">
      <w:pPr>
        <w:pStyle w:val="ListParagraph"/>
        <w:widowControl w:val="0"/>
        <w:numPr>
          <w:ilvl w:val="1"/>
          <w:numId w:val="15"/>
        </w:numPr>
        <w:tabs>
          <w:tab w:val="left" w:pos="1554"/>
        </w:tabs>
        <w:autoSpaceDE w:val="0"/>
        <w:autoSpaceDN w:val="0"/>
        <w:spacing w:before="219" w:after="0" w:line="240" w:lineRule="auto"/>
        <w:ind w:hanging="361"/>
        <w:contextualSpacing w:val="0"/>
        <w:rPr>
          <w:sz w:val="24"/>
        </w:rPr>
      </w:pPr>
      <w:r>
        <w:rPr>
          <w:sz w:val="24"/>
        </w:rPr>
        <w:t>response from the</w:t>
      </w:r>
      <w:r>
        <w:rPr>
          <w:spacing w:val="-2"/>
          <w:sz w:val="24"/>
        </w:rPr>
        <w:t xml:space="preserve"> </w:t>
      </w:r>
      <w:r>
        <w:rPr>
          <w:sz w:val="24"/>
        </w:rPr>
        <w:t>provider</w:t>
      </w:r>
    </w:p>
    <w:p w14:paraId="4DDCC849" w14:textId="77777777" w:rsidR="006941EE" w:rsidRDefault="006941EE" w:rsidP="006941EE">
      <w:pPr>
        <w:pStyle w:val="ListParagraph"/>
        <w:widowControl w:val="0"/>
        <w:numPr>
          <w:ilvl w:val="1"/>
          <w:numId w:val="15"/>
        </w:numPr>
        <w:tabs>
          <w:tab w:val="left" w:pos="1554"/>
        </w:tabs>
        <w:autoSpaceDE w:val="0"/>
        <w:autoSpaceDN w:val="0"/>
        <w:spacing w:before="219" w:after="0" w:line="240" w:lineRule="auto"/>
        <w:ind w:hanging="361"/>
        <w:contextualSpacing w:val="0"/>
        <w:rPr>
          <w:sz w:val="24"/>
        </w:rPr>
      </w:pPr>
      <w:r>
        <w:rPr>
          <w:sz w:val="24"/>
        </w:rPr>
        <w:t>responsible officer &amp; target</w:t>
      </w:r>
      <w:r>
        <w:rPr>
          <w:spacing w:val="3"/>
          <w:sz w:val="24"/>
        </w:rPr>
        <w:t xml:space="preserve"> </w:t>
      </w:r>
      <w:r>
        <w:rPr>
          <w:sz w:val="24"/>
        </w:rPr>
        <w:t>date</w:t>
      </w:r>
    </w:p>
    <w:p w14:paraId="29FC7E0D" w14:textId="77777777" w:rsidR="006941EE" w:rsidRDefault="006941EE" w:rsidP="006941EE">
      <w:pPr>
        <w:rPr>
          <w:sz w:val="24"/>
        </w:rPr>
        <w:sectPr w:rsidR="006941EE" w:rsidSect="00A7608E">
          <w:pgSz w:w="11910" w:h="16840"/>
          <w:pgMar w:top="1040" w:right="1040" w:bottom="960" w:left="1020" w:header="0" w:footer="776" w:gutter="0"/>
          <w:cols w:space="720"/>
        </w:sectPr>
      </w:pPr>
    </w:p>
    <w:p w14:paraId="567C70EB" w14:textId="77777777" w:rsidR="006941EE" w:rsidRDefault="006941EE" w:rsidP="006941EE">
      <w:pPr>
        <w:pStyle w:val="Heading1"/>
        <w:ind w:left="112"/>
      </w:pPr>
      <w:bookmarkStart w:id="14" w:name="_TOC_250000"/>
      <w:bookmarkEnd w:id="14"/>
      <w:r>
        <w:rPr>
          <w:color w:val="0F4F75"/>
        </w:rPr>
        <w:lastRenderedPageBreak/>
        <w:t>Annex B – Example report</w:t>
      </w:r>
    </w:p>
    <w:p w14:paraId="7F04CA0C" w14:textId="77777777" w:rsidR="006941EE" w:rsidRDefault="006941EE" w:rsidP="006941EE">
      <w:pPr>
        <w:pStyle w:val="BodyText"/>
        <w:spacing w:before="241"/>
        <w:ind w:left="112"/>
      </w:pPr>
      <w:r>
        <w:rPr>
          <w:color w:val="0D0D0D"/>
        </w:rPr>
        <w:t>[</w:t>
      </w:r>
      <w:r>
        <w:rPr>
          <w:color w:val="FF0000"/>
        </w:rPr>
        <w:t>Name of audit organisation</w:t>
      </w:r>
      <w:r>
        <w:rPr>
          <w:color w:val="0D0D0D"/>
        </w:rPr>
        <w:t>]</w:t>
      </w:r>
    </w:p>
    <w:p w14:paraId="75C83707" w14:textId="77777777" w:rsidR="006941EE" w:rsidRDefault="006941EE" w:rsidP="006941EE">
      <w:pPr>
        <w:pStyle w:val="BodyText"/>
        <w:spacing w:before="55"/>
        <w:ind w:left="112"/>
      </w:pPr>
      <w:r>
        <w:rPr>
          <w:color w:val="0D0D0D"/>
        </w:rPr>
        <w:t>[</w:t>
      </w:r>
      <w:r>
        <w:rPr>
          <w:color w:val="FF0000"/>
        </w:rPr>
        <w:t>Name and contact details of auditor</w:t>
      </w:r>
      <w:r>
        <w:rPr>
          <w:color w:val="0D0D0D"/>
        </w:rPr>
        <w:t>]</w:t>
      </w:r>
    </w:p>
    <w:p w14:paraId="1CF3ED5F" w14:textId="77777777" w:rsidR="006941EE" w:rsidRDefault="006941EE" w:rsidP="006941EE">
      <w:pPr>
        <w:pStyle w:val="BodyText"/>
        <w:spacing w:before="56" w:line="288" w:lineRule="auto"/>
        <w:ind w:left="112" w:right="260"/>
      </w:pPr>
      <w:r>
        <w:rPr>
          <w:color w:val="0D0D0D"/>
        </w:rPr>
        <w:t>[</w:t>
      </w:r>
      <w:r>
        <w:rPr>
          <w:color w:val="FF0000"/>
        </w:rPr>
        <w:t>Draft</w:t>
      </w:r>
      <w:r>
        <w:rPr>
          <w:color w:val="0D0D0D"/>
        </w:rPr>
        <w:t>] or [</w:t>
      </w:r>
      <w:r>
        <w:rPr>
          <w:color w:val="FF0000"/>
        </w:rPr>
        <w:t>Final</w:t>
      </w:r>
      <w:r>
        <w:rPr>
          <w:color w:val="0D0D0D"/>
        </w:rPr>
        <w:t>] Report of the assessment of ESFA Subcontracting standard for [</w:t>
      </w:r>
      <w:r>
        <w:rPr>
          <w:color w:val="FF0000"/>
        </w:rPr>
        <w:t>Provider ABC</w:t>
      </w:r>
      <w:r>
        <w:rPr>
          <w:color w:val="0D0D0D"/>
        </w:rPr>
        <w:t>] for funding year [</w:t>
      </w:r>
      <w:r w:rsidR="00CD06D2">
        <w:rPr>
          <w:color w:val="FF0000"/>
        </w:rPr>
        <w:t>2022/23</w:t>
      </w:r>
      <w:r>
        <w:rPr>
          <w:color w:val="0D0D0D"/>
        </w:rPr>
        <w:t>]</w:t>
      </w:r>
    </w:p>
    <w:p w14:paraId="54E629A8" w14:textId="77777777" w:rsidR="006941EE" w:rsidRDefault="006941EE" w:rsidP="006941EE">
      <w:pPr>
        <w:pStyle w:val="BodyText"/>
        <w:spacing w:line="288" w:lineRule="auto"/>
        <w:ind w:left="112" w:right="8410"/>
      </w:pPr>
      <w:r>
        <w:rPr>
          <w:color w:val="0D0D0D"/>
        </w:rPr>
        <w:t>[</w:t>
      </w:r>
      <w:r>
        <w:rPr>
          <w:color w:val="FF0000"/>
        </w:rPr>
        <w:t>Insert Date</w:t>
      </w:r>
      <w:r>
        <w:rPr>
          <w:color w:val="0D0D0D"/>
        </w:rPr>
        <w:t>] [</w:t>
      </w:r>
      <w:r>
        <w:rPr>
          <w:color w:val="FF0000"/>
        </w:rPr>
        <w:t>Contents</w:t>
      </w:r>
      <w:r>
        <w:rPr>
          <w:color w:val="0D0D0D"/>
        </w:rPr>
        <w:t>]</w:t>
      </w:r>
    </w:p>
    <w:p w14:paraId="1CD8EB33" w14:textId="77777777" w:rsidR="006941EE" w:rsidRDefault="006941EE" w:rsidP="006941EE">
      <w:pPr>
        <w:pStyle w:val="Heading2"/>
      </w:pPr>
      <w:r>
        <w:rPr>
          <w:color w:val="0D0D0D"/>
        </w:rPr>
        <w:t>Example: Executive summary</w:t>
      </w:r>
    </w:p>
    <w:p w14:paraId="48C3BCD9" w14:textId="77777777" w:rsidR="006941EE" w:rsidRDefault="006941EE" w:rsidP="006941EE">
      <w:pPr>
        <w:pStyle w:val="BodyText"/>
        <w:spacing w:before="7"/>
        <w:rPr>
          <w:b/>
          <w:sz w:val="25"/>
        </w:rPr>
      </w:pPr>
    </w:p>
    <w:p w14:paraId="1830A8F3" w14:textId="77777777" w:rsidR="006941EE" w:rsidRDefault="006941EE" w:rsidP="006941EE">
      <w:pPr>
        <w:pStyle w:val="BodyText"/>
        <w:spacing w:before="1" w:line="288" w:lineRule="auto"/>
        <w:ind w:left="112" w:right="406"/>
      </w:pPr>
      <w:r>
        <w:rPr>
          <w:color w:val="0D0D0D"/>
        </w:rPr>
        <w:t xml:space="preserve">During the course of our review, we have identified the following observations which are recorded in detail at [cross reference to detailed findings] and </w:t>
      </w:r>
      <w:proofErr w:type="spellStart"/>
      <w:r>
        <w:rPr>
          <w:color w:val="0D0D0D"/>
        </w:rPr>
        <w:t>summarised</w:t>
      </w:r>
      <w:proofErr w:type="spellEnd"/>
      <w:r>
        <w:rPr>
          <w:color w:val="0D0D0D"/>
        </w:rPr>
        <w:t xml:space="preserve"> in the table below:</w:t>
      </w:r>
    </w:p>
    <w:p w14:paraId="1DCE3D22" w14:textId="77777777" w:rsidR="006941EE" w:rsidRDefault="006941EE" w:rsidP="006941EE">
      <w:pPr>
        <w:pStyle w:val="BodyText"/>
        <w:spacing w:before="10"/>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722"/>
        <w:gridCol w:w="1467"/>
        <w:gridCol w:w="2912"/>
      </w:tblGrid>
      <w:tr w:rsidR="006941EE" w14:paraId="3FBE2F7E" w14:textId="77777777" w:rsidTr="00CD06D2">
        <w:trPr>
          <w:trHeight w:val="681"/>
        </w:trPr>
        <w:tc>
          <w:tcPr>
            <w:tcW w:w="2199" w:type="dxa"/>
          </w:tcPr>
          <w:p w14:paraId="0C0C0670" w14:textId="77777777" w:rsidR="006941EE" w:rsidRDefault="006941EE" w:rsidP="00CD06D2">
            <w:pPr>
              <w:pStyle w:val="TableParagraph"/>
              <w:spacing w:line="288" w:lineRule="auto"/>
              <w:ind w:right="329"/>
              <w:rPr>
                <w:rFonts w:ascii="Times New Roman"/>
                <w:b/>
                <w:sz w:val="16"/>
              </w:rPr>
            </w:pPr>
            <w:r>
              <w:rPr>
                <w:rFonts w:ascii="Times New Roman"/>
                <w:b/>
                <w:color w:val="0D0D0D"/>
                <w:sz w:val="16"/>
              </w:rPr>
              <w:t>Subcontracting Standard Requirements</w:t>
            </w:r>
          </w:p>
        </w:tc>
        <w:tc>
          <w:tcPr>
            <w:tcW w:w="1722" w:type="dxa"/>
          </w:tcPr>
          <w:p w14:paraId="445FBC4C" w14:textId="77777777" w:rsidR="006941EE" w:rsidRDefault="006941EE" w:rsidP="00CD06D2">
            <w:pPr>
              <w:pStyle w:val="TableParagraph"/>
              <w:ind w:left="107"/>
              <w:rPr>
                <w:rFonts w:ascii="Times New Roman"/>
                <w:b/>
                <w:sz w:val="16"/>
              </w:rPr>
            </w:pPr>
            <w:r>
              <w:rPr>
                <w:rFonts w:ascii="Times New Roman"/>
                <w:b/>
                <w:color w:val="0D0D0D"/>
                <w:sz w:val="16"/>
              </w:rPr>
              <w:t>Compliance status</w:t>
            </w:r>
          </w:p>
        </w:tc>
        <w:tc>
          <w:tcPr>
            <w:tcW w:w="1467" w:type="dxa"/>
          </w:tcPr>
          <w:p w14:paraId="27C77FA2" w14:textId="77777777" w:rsidR="006941EE" w:rsidRDefault="006941EE" w:rsidP="00CD06D2">
            <w:pPr>
              <w:pStyle w:val="TableParagraph"/>
              <w:ind w:left="109"/>
              <w:rPr>
                <w:rFonts w:ascii="Times New Roman"/>
                <w:b/>
                <w:sz w:val="16"/>
              </w:rPr>
            </w:pPr>
            <w:r>
              <w:rPr>
                <w:rFonts w:ascii="Times New Roman"/>
                <w:b/>
                <w:color w:val="0D0D0D"/>
                <w:sz w:val="16"/>
              </w:rPr>
              <w:t>No of Recs raised</w:t>
            </w:r>
          </w:p>
        </w:tc>
        <w:tc>
          <w:tcPr>
            <w:tcW w:w="2912" w:type="dxa"/>
          </w:tcPr>
          <w:p w14:paraId="2B784364" w14:textId="77777777" w:rsidR="006941EE" w:rsidRDefault="006941EE" w:rsidP="00CD06D2">
            <w:pPr>
              <w:pStyle w:val="TableParagraph"/>
              <w:ind w:left="106"/>
              <w:rPr>
                <w:rFonts w:ascii="Times New Roman"/>
                <w:b/>
                <w:sz w:val="16"/>
              </w:rPr>
            </w:pPr>
            <w:r>
              <w:rPr>
                <w:rFonts w:ascii="Times New Roman"/>
                <w:b/>
                <w:color w:val="0D0D0D"/>
                <w:sz w:val="16"/>
              </w:rPr>
              <w:t>Summary of findings</w:t>
            </w:r>
          </w:p>
        </w:tc>
      </w:tr>
      <w:tr w:rsidR="006941EE" w14:paraId="6C3373E9" w14:textId="77777777" w:rsidTr="00CD06D2">
        <w:trPr>
          <w:trHeight w:val="902"/>
        </w:trPr>
        <w:tc>
          <w:tcPr>
            <w:tcW w:w="2199" w:type="dxa"/>
          </w:tcPr>
          <w:p w14:paraId="7E30B848" w14:textId="77777777" w:rsidR="006941EE" w:rsidRDefault="006941EE" w:rsidP="00CD06D2">
            <w:pPr>
              <w:pStyle w:val="TableParagraph"/>
              <w:rPr>
                <w:rFonts w:ascii="Times New Roman"/>
                <w:sz w:val="16"/>
              </w:rPr>
            </w:pPr>
            <w:r>
              <w:rPr>
                <w:rFonts w:ascii="Times New Roman"/>
                <w:color w:val="0D0D0D"/>
                <w:sz w:val="16"/>
              </w:rPr>
              <w:t>Pre-Award Activities</w:t>
            </w:r>
          </w:p>
        </w:tc>
        <w:tc>
          <w:tcPr>
            <w:tcW w:w="1722" w:type="dxa"/>
            <w:shd w:val="clear" w:color="auto" w:fill="92D050"/>
          </w:tcPr>
          <w:p w14:paraId="2E1A953F" w14:textId="77777777" w:rsidR="006941EE" w:rsidRDefault="006941EE" w:rsidP="00CD06D2">
            <w:pPr>
              <w:pStyle w:val="TableParagraph"/>
              <w:ind w:left="107"/>
              <w:rPr>
                <w:rFonts w:ascii="Times New Roman"/>
                <w:sz w:val="16"/>
              </w:rPr>
            </w:pPr>
            <w:r>
              <w:rPr>
                <w:rFonts w:ascii="Times New Roman"/>
                <w:color w:val="0D0D0D"/>
                <w:sz w:val="16"/>
              </w:rPr>
              <w:t>Fully Compliant</w:t>
            </w:r>
          </w:p>
        </w:tc>
        <w:tc>
          <w:tcPr>
            <w:tcW w:w="1467" w:type="dxa"/>
          </w:tcPr>
          <w:p w14:paraId="4CDC6BBA" w14:textId="77777777" w:rsidR="006941EE" w:rsidRDefault="006941EE" w:rsidP="00CD06D2">
            <w:pPr>
              <w:pStyle w:val="TableParagraph"/>
              <w:ind w:left="150"/>
              <w:rPr>
                <w:rFonts w:ascii="Times New Roman"/>
                <w:sz w:val="16"/>
              </w:rPr>
            </w:pPr>
            <w:r>
              <w:rPr>
                <w:rFonts w:ascii="Times New Roman"/>
                <w:color w:val="0D0D0D"/>
                <w:sz w:val="16"/>
              </w:rPr>
              <w:t>0</w:t>
            </w:r>
          </w:p>
        </w:tc>
        <w:tc>
          <w:tcPr>
            <w:tcW w:w="2912" w:type="dxa"/>
          </w:tcPr>
          <w:p w14:paraId="3F1D903E" w14:textId="77777777" w:rsidR="006941EE" w:rsidRDefault="006941EE" w:rsidP="00CD06D2">
            <w:pPr>
              <w:pStyle w:val="TableParagraph"/>
              <w:spacing w:line="288" w:lineRule="auto"/>
              <w:ind w:left="106" w:right="105"/>
              <w:rPr>
                <w:rFonts w:ascii="Times New Roman"/>
                <w:sz w:val="16"/>
              </w:rPr>
            </w:pPr>
            <w:r>
              <w:rPr>
                <w:rFonts w:ascii="Times New Roman"/>
                <w:color w:val="0D0D0D"/>
                <w:sz w:val="16"/>
              </w:rPr>
              <w:t>The review identified that the provider was fully compliant with all requirements of the standard.</w:t>
            </w:r>
          </w:p>
        </w:tc>
      </w:tr>
      <w:tr w:rsidR="006941EE" w14:paraId="544369AA" w14:textId="77777777" w:rsidTr="00CD06D2">
        <w:trPr>
          <w:trHeight w:val="902"/>
        </w:trPr>
        <w:tc>
          <w:tcPr>
            <w:tcW w:w="2199" w:type="dxa"/>
          </w:tcPr>
          <w:p w14:paraId="0CF2A63D" w14:textId="77777777" w:rsidR="006941EE" w:rsidRDefault="006941EE" w:rsidP="00CD06D2">
            <w:pPr>
              <w:pStyle w:val="TableParagraph"/>
              <w:spacing w:line="288" w:lineRule="auto"/>
              <w:ind w:right="868"/>
              <w:rPr>
                <w:rFonts w:ascii="Times New Roman"/>
                <w:sz w:val="16"/>
              </w:rPr>
            </w:pPr>
            <w:r>
              <w:rPr>
                <w:rFonts w:ascii="Times New Roman"/>
                <w:color w:val="0D0D0D"/>
                <w:sz w:val="16"/>
              </w:rPr>
              <w:t>Contract Award &amp; Management</w:t>
            </w:r>
          </w:p>
        </w:tc>
        <w:tc>
          <w:tcPr>
            <w:tcW w:w="1722" w:type="dxa"/>
            <w:shd w:val="clear" w:color="auto" w:fill="FFC000"/>
          </w:tcPr>
          <w:p w14:paraId="53E0178C" w14:textId="77777777" w:rsidR="006941EE" w:rsidRDefault="006941EE" w:rsidP="00CD06D2">
            <w:pPr>
              <w:pStyle w:val="TableParagraph"/>
              <w:ind w:left="107"/>
              <w:rPr>
                <w:rFonts w:ascii="Times New Roman"/>
                <w:sz w:val="16"/>
              </w:rPr>
            </w:pPr>
            <w:r>
              <w:rPr>
                <w:rFonts w:ascii="Times New Roman"/>
                <w:color w:val="0D0D0D"/>
                <w:sz w:val="16"/>
              </w:rPr>
              <w:t>Partially Compliant</w:t>
            </w:r>
          </w:p>
        </w:tc>
        <w:tc>
          <w:tcPr>
            <w:tcW w:w="1467" w:type="dxa"/>
          </w:tcPr>
          <w:p w14:paraId="56F44833" w14:textId="77777777" w:rsidR="006941EE" w:rsidRDefault="006941EE" w:rsidP="00CD06D2">
            <w:pPr>
              <w:pStyle w:val="TableParagraph"/>
              <w:ind w:left="109"/>
              <w:rPr>
                <w:rFonts w:ascii="Times New Roman"/>
                <w:sz w:val="16"/>
              </w:rPr>
            </w:pPr>
            <w:r>
              <w:rPr>
                <w:rFonts w:ascii="Times New Roman"/>
                <w:color w:val="0D0D0D"/>
                <w:sz w:val="16"/>
              </w:rPr>
              <w:t>2</w:t>
            </w:r>
          </w:p>
        </w:tc>
        <w:tc>
          <w:tcPr>
            <w:tcW w:w="2912" w:type="dxa"/>
          </w:tcPr>
          <w:p w14:paraId="7482AD68" w14:textId="77777777" w:rsidR="006941EE" w:rsidRDefault="006941EE" w:rsidP="00CD06D2">
            <w:pPr>
              <w:pStyle w:val="TableParagraph"/>
              <w:spacing w:line="288" w:lineRule="auto"/>
              <w:ind w:left="106" w:right="252"/>
              <w:rPr>
                <w:rFonts w:ascii="Times New Roman"/>
                <w:sz w:val="16"/>
              </w:rPr>
            </w:pPr>
            <w:r>
              <w:rPr>
                <w:rFonts w:ascii="Times New Roman"/>
                <w:color w:val="0D0D0D"/>
                <w:sz w:val="16"/>
              </w:rPr>
              <w:t>We identified 2 areas for improvement. Recommendations have been made in respect of [relevant detail]</w:t>
            </w:r>
          </w:p>
        </w:tc>
      </w:tr>
      <w:tr w:rsidR="006941EE" w14:paraId="3C3915D1" w14:textId="77777777" w:rsidTr="00CD06D2">
        <w:trPr>
          <w:trHeight w:val="902"/>
        </w:trPr>
        <w:tc>
          <w:tcPr>
            <w:tcW w:w="2199" w:type="dxa"/>
          </w:tcPr>
          <w:p w14:paraId="39397467" w14:textId="77777777" w:rsidR="006941EE" w:rsidRDefault="006941EE" w:rsidP="00CD06D2">
            <w:pPr>
              <w:pStyle w:val="TableParagraph"/>
              <w:rPr>
                <w:rFonts w:ascii="Times New Roman"/>
                <w:sz w:val="16"/>
              </w:rPr>
            </w:pPr>
            <w:r>
              <w:rPr>
                <w:rFonts w:ascii="Times New Roman"/>
                <w:color w:val="0D0D0D"/>
                <w:sz w:val="16"/>
              </w:rPr>
              <w:t>People</w:t>
            </w:r>
          </w:p>
        </w:tc>
        <w:tc>
          <w:tcPr>
            <w:tcW w:w="1722" w:type="dxa"/>
            <w:shd w:val="clear" w:color="auto" w:fill="FF0000"/>
          </w:tcPr>
          <w:p w14:paraId="6C335E7E" w14:textId="77777777" w:rsidR="006941EE" w:rsidRDefault="006941EE" w:rsidP="00CD06D2">
            <w:pPr>
              <w:pStyle w:val="TableParagraph"/>
              <w:ind w:left="107"/>
              <w:rPr>
                <w:rFonts w:ascii="Times New Roman"/>
                <w:sz w:val="16"/>
              </w:rPr>
            </w:pPr>
            <w:r>
              <w:rPr>
                <w:rFonts w:ascii="Times New Roman"/>
                <w:color w:val="0D0D0D"/>
                <w:sz w:val="16"/>
              </w:rPr>
              <w:t>No compliance</w:t>
            </w:r>
          </w:p>
        </w:tc>
        <w:tc>
          <w:tcPr>
            <w:tcW w:w="1467" w:type="dxa"/>
          </w:tcPr>
          <w:p w14:paraId="09BD0821" w14:textId="77777777" w:rsidR="006941EE" w:rsidRDefault="006941EE" w:rsidP="00CD06D2">
            <w:pPr>
              <w:pStyle w:val="TableParagraph"/>
              <w:ind w:left="109"/>
              <w:rPr>
                <w:rFonts w:ascii="Times New Roman"/>
                <w:sz w:val="16"/>
              </w:rPr>
            </w:pPr>
            <w:r>
              <w:rPr>
                <w:rFonts w:ascii="Times New Roman"/>
                <w:color w:val="0D0D0D"/>
                <w:sz w:val="16"/>
              </w:rPr>
              <w:t>6</w:t>
            </w:r>
          </w:p>
        </w:tc>
        <w:tc>
          <w:tcPr>
            <w:tcW w:w="2912" w:type="dxa"/>
          </w:tcPr>
          <w:p w14:paraId="33ED934F" w14:textId="77777777" w:rsidR="006941EE" w:rsidRDefault="006941EE" w:rsidP="00CD06D2">
            <w:pPr>
              <w:pStyle w:val="TableParagraph"/>
              <w:spacing w:line="288" w:lineRule="auto"/>
              <w:ind w:left="106" w:right="119"/>
              <w:rPr>
                <w:rFonts w:ascii="Times New Roman"/>
                <w:sz w:val="16"/>
              </w:rPr>
            </w:pPr>
            <w:r>
              <w:rPr>
                <w:rFonts w:ascii="Times New Roman"/>
                <w:color w:val="0D0D0D"/>
                <w:sz w:val="16"/>
              </w:rPr>
              <w:t xml:space="preserve">The provider </w:t>
            </w:r>
            <w:proofErr w:type="gramStart"/>
            <w:r>
              <w:rPr>
                <w:rFonts w:ascii="Times New Roman"/>
                <w:color w:val="0D0D0D"/>
                <w:sz w:val="16"/>
              </w:rPr>
              <w:t>were</w:t>
            </w:r>
            <w:proofErr w:type="gramEnd"/>
            <w:r>
              <w:rPr>
                <w:rFonts w:ascii="Times New Roman"/>
                <w:color w:val="0D0D0D"/>
                <w:sz w:val="16"/>
              </w:rPr>
              <w:t xml:space="preserve"> unable to supply evidence to demonstrate compliance with the standard</w:t>
            </w:r>
          </w:p>
        </w:tc>
      </w:tr>
      <w:tr w:rsidR="006941EE" w14:paraId="70A8E8B1" w14:textId="77777777" w:rsidTr="00CD06D2">
        <w:trPr>
          <w:trHeight w:val="904"/>
        </w:trPr>
        <w:tc>
          <w:tcPr>
            <w:tcW w:w="2199" w:type="dxa"/>
          </w:tcPr>
          <w:p w14:paraId="7506BDC7" w14:textId="77777777" w:rsidR="006941EE" w:rsidRDefault="006941EE" w:rsidP="00CD06D2">
            <w:pPr>
              <w:pStyle w:val="TableParagraph"/>
              <w:spacing w:before="4"/>
              <w:rPr>
                <w:rFonts w:ascii="Times New Roman"/>
                <w:sz w:val="16"/>
              </w:rPr>
            </w:pPr>
            <w:r>
              <w:rPr>
                <w:rFonts w:ascii="Times New Roman"/>
                <w:color w:val="0D0D0D"/>
                <w:sz w:val="16"/>
              </w:rPr>
              <w:t>Administration</w:t>
            </w:r>
          </w:p>
        </w:tc>
        <w:tc>
          <w:tcPr>
            <w:tcW w:w="1722" w:type="dxa"/>
            <w:shd w:val="clear" w:color="auto" w:fill="92D050"/>
          </w:tcPr>
          <w:p w14:paraId="1EAB66BE" w14:textId="77777777" w:rsidR="006941EE" w:rsidRDefault="006941EE" w:rsidP="00CD06D2">
            <w:pPr>
              <w:pStyle w:val="TableParagraph"/>
              <w:spacing w:before="4"/>
              <w:ind w:left="107"/>
              <w:rPr>
                <w:rFonts w:ascii="Times New Roman"/>
                <w:sz w:val="16"/>
              </w:rPr>
            </w:pPr>
            <w:r>
              <w:rPr>
                <w:rFonts w:ascii="Times New Roman"/>
                <w:color w:val="0D0D0D"/>
                <w:sz w:val="16"/>
              </w:rPr>
              <w:t>Fully Compliant</w:t>
            </w:r>
          </w:p>
        </w:tc>
        <w:tc>
          <w:tcPr>
            <w:tcW w:w="1467" w:type="dxa"/>
          </w:tcPr>
          <w:p w14:paraId="30914CC8" w14:textId="77777777" w:rsidR="006941EE" w:rsidRDefault="006941EE" w:rsidP="00CD06D2">
            <w:pPr>
              <w:pStyle w:val="TableParagraph"/>
              <w:spacing w:before="4"/>
              <w:ind w:left="150"/>
              <w:rPr>
                <w:rFonts w:ascii="Times New Roman"/>
                <w:sz w:val="16"/>
              </w:rPr>
            </w:pPr>
            <w:r>
              <w:rPr>
                <w:rFonts w:ascii="Times New Roman"/>
                <w:color w:val="0D0D0D"/>
                <w:sz w:val="16"/>
              </w:rPr>
              <w:t>0</w:t>
            </w:r>
          </w:p>
        </w:tc>
        <w:tc>
          <w:tcPr>
            <w:tcW w:w="2912" w:type="dxa"/>
          </w:tcPr>
          <w:p w14:paraId="513B729E" w14:textId="77777777" w:rsidR="006941EE" w:rsidRDefault="006941EE" w:rsidP="00CD06D2">
            <w:pPr>
              <w:pStyle w:val="TableParagraph"/>
              <w:spacing w:before="4" w:line="288" w:lineRule="auto"/>
              <w:ind w:left="106" w:right="105"/>
              <w:rPr>
                <w:rFonts w:ascii="Times New Roman"/>
                <w:sz w:val="16"/>
              </w:rPr>
            </w:pPr>
            <w:r>
              <w:rPr>
                <w:rFonts w:ascii="Times New Roman"/>
                <w:color w:val="0D0D0D"/>
                <w:sz w:val="16"/>
              </w:rPr>
              <w:t>The review identified that the provider was fully compliant with all requirements of the standard.</w:t>
            </w:r>
          </w:p>
        </w:tc>
      </w:tr>
      <w:tr w:rsidR="006941EE" w14:paraId="71D84B24" w14:textId="77777777" w:rsidTr="00CD06D2">
        <w:trPr>
          <w:trHeight w:val="902"/>
        </w:trPr>
        <w:tc>
          <w:tcPr>
            <w:tcW w:w="2199" w:type="dxa"/>
          </w:tcPr>
          <w:p w14:paraId="1AF3D194" w14:textId="77777777" w:rsidR="006941EE" w:rsidRDefault="006941EE" w:rsidP="00CD06D2">
            <w:pPr>
              <w:pStyle w:val="TableParagraph"/>
              <w:rPr>
                <w:rFonts w:ascii="Times New Roman"/>
                <w:sz w:val="16"/>
              </w:rPr>
            </w:pPr>
            <w:r>
              <w:rPr>
                <w:rFonts w:ascii="Times New Roman"/>
                <w:color w:val="0D0D0D"/>
                <w:sz w:val="16"/>
              </w:rPr>
              <w:t>Managing Relationships</w:t>
            </w:r>
          </w:p>
        </w:tc>
        <w:tc>
          <w:tcPr>
            <w:tcW w:w="1722" w:type="dxa"/>
            <w:shd w:val="clear" w:color="auto" w:fill="92D050"/>
          </w:tcPr>
          <w:p w14:paraId="16BBD73C" w14:textId="77777777" w:rsidR="006941EE" w:rsidRDefault="006941EE" w:rsidP="00CD06D2">
            <w:pPr>
              <w:pStyle w:val="TableParagraph"/>
              <w:ind w:left="107"/>
              <w:rPr>
                <w:rFonts w:ascii="Times New Roman"/>
                <w:sz w:val="16"/>
              </w:rPr>
            </w:pPr>
            <w:r>
              <w:rPr>
                <w:rFonts w:ascii="Times New Roman"/>
                <w:color w:val="0D0D0D"/>
                <w:sz w:val="16"/>
              </w:rPr>
              <w:t>Fully Compliant</w:t>
            </w:r>
          </w:p>
        </w:tc>
        <w:tc>
          <w:tcPr>
            <w:tcW w:w="1467" w:type="dxa"/>
          </w:tcPr>
          <w:p w14:paraId="3F3CE2AD" w14:textId="77777777" w:rsidR="006941EE" w:rsidRDefault="006941EE" w:rsidP="00CD06D2">
            <w:pPr>
              <w:pStyle w:val="TableParagraph"/>
              <w:ind w:left="150"/>
              <w:rPr>
                <w:rFonts w:ascii="Times New Roman"/>
                <w:sz w:val="16"/>
              </w:rPr>
            </w:pPr>
            <w:r>
              <w:rPr>
                <w:rFonts w:ascii="Times New Roman"/>
                <w:color w:val="0D0D0D"/>
                <w:sz w:val="16"/>
              </w:rPr>
              <w:t>0</w:t>
            </w:r>
          </w:p>
        </w:tc>
        <w:tc>
          <w:tcPr>
            <w:tcW w:w="2912" w:type="dxa"/>
          </w:tcPr>
          <w:p w14:paraId="1DD0E46F" w14:textId="77777777" w:rsidR="006941EE" w:rsidRDefault="006941EE" w:rsidP="00CD06D2">
            <w:pPr>
              <w:pStyle w:val="TableParagraph"/>
              <w:spacing w:line="288" w:lineRule="auto"/>
              <w:ind w:left="106" w:right="105"/>
              <w:rPr>
                <w:rFonts w:ascii="Times New Roman"/>
                <w:sz w:val="16"/>
              </w:rPr>
            </w:pPr>
            <w:r>
              <w:rPr>
                <w:rFonts w:ascii="Times New Roman"/>
                <w:color w:val="0D0D0D"/>
                <w:sz w:val="16"/>
              </w:rPr>
              <w:t>The review identified that the provider was fully compliant with all requirements of the standard.</w:t>
            </w:r>
          </w:p>
        </w:tc>
      </w:tr>
      <w:tr w:rsidR="006941EE" w14:paraId="5491D15C" w14:textId="77777777" w:rsidTr="00CD06D2">
        <w:trPr>
          <w:trHeight w:val="901"/>
        </w:trPr>
        <w:tc>
          <w:tcPr>
            <w:tcW w:w="2199" w:type="dxa"/>
          </w:tcPr>
          <w:p w14:paraId="11C79599" w14:textId="77777777" w:rsidR="006941EE" w:rsidRDefault="006941EE" w:rsidP="00CD06D2">
            <w:pPr>
              <w:pStyle w:val="TableParagraph"/>
              <w:rPr>
                <w:rFonts w:ascii="Times New Roman"/>
                <w:sz w:val="16"/>
              </w:rPr>
            </w:pPr>
            <w:r>
              <w:rPr>
                <w:rFonts w:ascii="Times New Roman"/>
                <w:color w:val="0D0D0D"/>
                <w:sz w:val="16"/>
              </w:rPr>
              <w:t>Managing Performance</w:t>
            </w:r>
          </w:p>
        </w:tc>
        <w:tc>
          <w:tcPr>
            <w:tcW w:w="1722" w:type="dxa"/>
            <w:shd w:val="clear" w:color="auto" w:fill="92D050"/>
          </w:tcPr>
          <w:p w14:paraId="30C2C941" w14:textId="77777777" w:rsidR="006941EE" w:rsidRDefault="006941EE" w:rsidP="00CD06D2">
            <w:pPr>
              <w:pStyle w:val="TableParagraph"/>
              <w:ind w:left="107"/>
              <w:rPr>
                <w:rFonts w:ascii="Times New Roman"/>
                <w:sz w:val="16"/>
              </w:rPr>
            </w:pPr>
            <w:r>
              <w:rPr>
                <w:rFonts w:ascii="Times New Roman"/>
                <w:color w:val="0D0D0D"/>
                <w:sz w:val="16"/>
              </w:rPr>
              <w:t>Fully Compliant</w:t>
            </w:r>
          </w:p>
        </w:tc>
        <w:tc>
          <w:tcPr>
            <w:tcW w:w="1467" w:type="dxa"/>
          </w:tcPr>
          <w:p w14:paraId="3BAF7EB5" w14:textId="77777777" w:rsidR="006941EE" w:rsidRDefault="006941EE" w:rsidP="00CD06D2">
            <w:pPr>
              <w:pStyle w:val="TableParagraph"/>
              <w:ind w:left="150"/>
              <w:rPr>
                <w:rFonts w:ascii="Times New Roman"/>
                <w:sz w:val="16"/>
              </w:rPr>
            </w:pPr>
            <w:r>
              <w:rPr>
                <w:rFonts w:ascii="Times New Roman"/>
                <w:color w:val="0D0D0D"/>
                <w:sz w:val="16"/>
              </w:rPr>
              <w:t>0</w:t>
            </w:r>
          </w:p>
        </w:tc>
        <w:tc>
          <w:tcPr>
            <w:tcW w:w="2912" w:type="dxa"/>
          </w:tcPr>
          <w:p w14:paraId="569CB327" w14:textId="77777777" w:rsidR="006941EE" w:rsidRDefault="006941EE" w:rsidP="00CD06D2">
            <w:pPr>
              <w:pStyle w:val="TableParagraph"/>
              <w:spacing w:line="288" w:lineRule="auto"/>
              <w:ind w:left="106" w:right="105"/>
              <w:rPr>
                <w:rFonts w:ascii="Times New Roman"/>
                <w:sz w:val="16"/>
              </w:rPr>
            </w:pPr>
            <w:r>
              <w:rPr>
                <w:rFonts w:ascii="Times New Roman"/>
                <w:color w:val="0D0D0D"/>
                <w:sz w:val="16"/>
              </w:rPr>
              <w:t>The review identified that the provider was fully compliant with all requirements of the standard.</w:t>
            </w:r>
          </w:p>
        </w:tc>
      </w:tr>
      <w:tr w:rsidR="006941EE" w14:paraId="33DD783B" w14:textId="77777777" w:rsidTr="00CD06D2">
        <w:trPr>
          <w:trHeight w:val="902"/>
        </w:trPr>
        <w:tc>
          <w:tcPr>
            <w:tcW w:w="2199" w:type="dxa"/>
          </w:tcPr>
          <w:p w14:paraId="7919895D" w14:textId="77777777" w:rsidR="006941EE" w:rsidRDefault="006941EE" w:rsidP="00CD06D2">
            <w:pPr>
              <w:pStyle w:val="TableParagraph"/>
              <w:rPr>
                <w:rFonts w:ascii="Times New Roman"/>
                <w:sz w:val="16"/>
              </w:rPr>
            </w:pPr>
            <w:r>
              <w:rPr>
                <w:rFonts w:ascii="Times New Roman"/>
                <w:color w:val="0D0D0D"/>
                <w:sz w:val="16"/>
              </w:rPr>
              <w:t>Payments and Incentives</w:t>
            </w:r>
          </w:p>
        </w:tc>
        <w:tc>
          <w:tcPr>
            <w:tcW w:w="1722" w:type="dxa"/>
            <w:shd w:val="clear" w:color="auto" w:fill="92D050"/>
          </w:tcPr>
          <w:p w14:paraId="63B7B7E8" w14:textId="77777777" w:rsidR="006941EE" w:rsidRDefault="006941EE" w:rsidP="00CD06D2">
            <w:pPr>
              <w:pStyle w:val="TableParagraph"/>
              <w:ind w:left="107"/>
              <w:rPr>
                <w:rFonts w:ascii="Times New Roman"/>
                <w:sz w:val="16"/>
              </w:rPr>
            </w:pPr>
            <w:r>
              <w:rPr>
                <w:rFonts w:ascii="Times New Roman"/>
                <w:color w:val="0D0D0D"/>
                <w:sz w:val="16"/>
              </w:rPr>
              <w:t>Fully Compliant</w:t>
            </w:r>
          </w:p>
        </w:tc>
        <w:tc>
          <w:tcPr>
            <w:tcW w:w="1467" w:type="dxa"/>
          </w:tcPr>
          <w:p w14:paraId="1A173AB1" w14:textId="77777777" w:rsidR="006941EE" w:rsidRDefault="006941EE" w:rsidP="00CD06D2">
            <w:pPr>
              <w:pStyle w:val="TableParagraph"/>
              <w:ind w:left="150"/>
              <w:rPr>
                <w:rFonts w:ascii="Times New Roman"/>
                <w:sz w:val="16"/>
              </w:rPr>
            </w:pPr>
            <w:r>
              <w:rPr>
                <w:rFonts w:ascii="Times New Roman"/>
                <w:color w:val="0D0D0D"/>
                <w:sz w:val="16"/>
              </w:rPr>
              <w:t>0</w:t>
            </w:r>
          </w:p>
        </w:tc>
        <w:tc>
          <w:tcPr>
            <w:tcW w:w="2912" w:type="dxa"/>
          </w:tcPr>
          <w:p w14:paraId="08335200" w14:textId="77777777" w:rsidR="006941EE" w:rsidRDefault="006941EE" w:rsidP="00CD06D2">
            <w:pPr>
              <w:pStyle w:val="TableParagraph"/>
              <w:spacing w:line="288" w:lineRule="auto"/>
              <w:ind w:left="106" w:right="105"/>
              <w:rPr>
                <w:rFonts w:ascii="Times New Roman"/>
                <w:sz w:val="16"/>
              </w:rPr>
            </w:pPr>
            <w:r>
              <w:rPr>
                <w:rFonts w:ascii="Times New Roman"/>
                <w:color w:val="0D0D0D"/>
                <w:sz w:val="16"/>
              </w:rPr>
              <w:t>The review identified that the provider was fully compliant with all requirements of the standard.</w:t>
            </w:r>
          </w:p>
        </w:tc>
      </w:tr>
      <w:tr w:rsidR="006941EE" w14:paraId="008A2B3F" w14:textId="77777777" w:rsidTr="00CD06D2">
        <w:trPr>
          <w:trHeight w:val="901"/>
        </w:trPr>
        <w:tc>
          <w:tcPr>
            <w:tcW w:w="2199" w:type="dxa"/>
          </w:tcPr>
          <w:p w14:paraId="525A4C0B" w14:textId="77777777" w:rsidR="006941EE" w:rsidRDefault="006941EE" w:rsidP="00CD06D2">
            <w:pPr>
              <w:pStyle w:val="TableParagraph"/>
              <w:rPr>
                <w:rFonts w:ascii="Times New Roman"/>
                <w:sz w:val="16"/>
              </w:rPr>
            </w:pPr>
            <w:r>
              <w:rPr>
                <w:rFonts w:ascii="Times New Roman"/>
                <w:color w:val="0D0D0D"/>
                <w:sz w:val="16"/>
              </w:rPr>
              <w:t>Risk Management</w:t>
            </w:r>
          </w:p>
        </w:tc>
        <w:tc>
          <w:tcPr>
            <w:tcW w:w="1722" w:type="dxa"/>
            <w:shd w:val="clear" w:color="auto" w:fill="92D050"/>
          </w:tcPr>
          <w:p w14:paraId="6D242F50" w14:textId="77777777" w:rsidR="006941EE" w:rsidRDefault="006941EE" w:rsidP="00CD06D2">
            <w:pPr>
              <w:pStyle w:val="TableParagraph"/>
              <w:ind w:left="107"/>
              <w:rPr>
                <w:rFonts w:ascii="Times New Roman"/>
                <w:sz w:val="16"/>
              </w:rPr>
            </w:pPr>
            <w:r>
              <w:rPr>
                <w:rFonts w:ascii="Times New Roman"/>
                <w:color w:val="0D0D0D"/>
                <w:sz w:val="16"/>
              </w:rPr>
              <w:t>Fully Compliant</w:t>
            </w:r>
          </w:p>
        </w:tc>
        <w:tc>
          <w:tcPr>
            <w:tcW w:w="1467" w:type="dxa"/>
          </w:tcPr>
          <w:p w14:paraId="203810CB" w14:textId="77777777" w:rsidR="006941EE" w:rsidRDefault="006941EE" w:rsidP="00CD06D2">
            <w:pPr>
              <w:pStyle w:val="TableParagraph"/>
              <w:ind w:left="150"/>
              <w:rPr>
                <w:rFonts w:ascii="Times New Roman"/>
                <w:sz w:val="16"/>
              </w:rPr>
            </w:pPr>
            <w:r>
              <w:rPr>
                <w:rFonts w:ascii="Times New Roman"/>
                <w:color w:val="0D0D0D"/>
                <w:sz w:val="16"/>
              </w:rPr>
              <w:t>0</w:t>
            </w:r>
          </w:p>
        </w:tc>
        <w:tc>
          <w:tcPr>
            <w:tcW w:w="2912" w:type="dxa"/>
          </w:tcPr>
          <w:p w14:paraId="21E8F19F" w14:textId="77777777" w:rsidR="006941EE" w:rsidRDefault="006941EE" w:rsidP="00CD06D2">
            <w:pPr>
              <w:pStyle w:val="TableParagraph"/>
              <w:spacing w:line="288" w:lineRule="auto"/>
              <w:ind w:left="106" w:right="105"/>
              <w:rPr>
                <w:rFonts w:ascii="Times New Roman"/>
                <w:sz w:val="16"/>
              </w:rPr>
            </w:pPr>
            <w:r>
              <w:rPr>
                <w:rFonts w:ascii="Times New Roman"/>
                <w:color w:val="0D0D0D"/>
                <w:sz w:val="16"/>
              </w:rPr>
              <w:t>The review identified that the provider was fully compliant with all requirements of the standard.</w:t>
            </w:r>
          </w:p>
        </w:tc>
      </w:tr>
      <w:tr w:rsidR="006941EE" w14:paraId="3D3B0307" w14:textId="77777777" w:rsidTr="00CD06D2">
        <w:trPr>
          <w:trHeight w:val="902"/>
        </w:trPr>
        <w:tc>
          <w:tcPr>
            <w:tcW w:w="2199" w:type="dxa"/>
          </w:tcPr>
          <w:p w14:paraId="4FA9B221" w14:textId="77777777" w:rsidR="006941EE" w:rsidRDefault="006941EE" w:rsidP="00CD06D2">
            <w:pPr>
              <w:pStyle w:val="TableParagraph"/>
              <w:spacing w:line="288" w:lineRule="auto"/>
              <w:ind w:right="157"/>
              <w:rPr>
                <w:rFonts w:ascii="Times New Roman"/>
                <w:sz w:val="16"/>
              </w:rPr>
            </w:pPr>
            <w:r>
              <w:rPr>
                <w:rFonts w:ascii="Times New Roman"/>
                <w:color w:val="0D0D0D"/>
                <w:sz w:val="16"/>
              </w:rPr>
              <w:t>Contract Development and/or termination</w:t>
            </w:r>
          </w:p>
        </w:tc>
        <w:tc>
          <w:tcPr>
            <w:tcW w:w="1722" w:type="dxa"/>
            <w:shd w:val="clear" w:color="auto" w:fill="92D050"/>
          </w:tcPr>
          <w:p w14:paraId="3C237634" w14:textId="77777777" w:rsidR="006941EE" w:rsidRDefault="006941EE" w:rsidP="00CD06D2">
            <w:pPr>
              <w:pStyle w:val="TableParagraph"/>
              <w:ind w:left="107"/>
              <w:rPr>
                <w:rFonts w:ascii="Times New Roman"/>
                <w:sz w:val="16"/>
              </w:rPr>
            </w:pPr>
            <w:r>
              <w:rPr>
                <w:rFonts w:ascii="Times New Roman"/>
                <w:color w:val="0D0D0D"/>
                <w:sz w:val="16"/>
              </w:rPr>
              <w:t>Fully Compliant</w:t>
            </w:r>
          </w:p>
        </w:tc>
        <w:tc>
          <w:tcPr>
            <w:tcW w:w="1467" w:type="dxa"/>
          </w:tcPr>
          <w:p w14:paraId="377A8281" w14:textId="77777777" w:rsidR="006941EE" w:rsidRDefault="006941EE" w:rsidP="00CD06D2">
            <w:pPr>
              <w:pStyle w:val="TableParagraph"/>
              <w:ind w:left="150"/>
              <w:rPr>
                <w:rFonts w:ascii="Times New Roman"/>
                <w:sz w:val="16"/>
              </w:rPr>
            </w:pPr>
            <w:r>
              <w:rPr>
                <w:rFonts w:ascii="Times New Roman"/>
                <w:color w:val="0D0D0D"/>
                <w:sz w:val="16"/>
              </w:rPr>
              <w:t>0</w:t>
            </w:r>
          </w:p>
        </w:tc>
        <w:tc>
          <w:tcPr>
            <w:tcW w:w="2912" w:type="dxa"/>
          </w:tcPr>
          <w:p w14:paraId="71ED71FE" w14:textId="77777777" w:rsidR="006941EE" w:rsidRDefault="006941EE" w:rsidP="00CD06D2">
            <w:pPr>
              <w:pStyle w:val="TableParagraph"/>
              <w:spacing w:line="288" w:lineRule="auto"/>
              <w:ind w:left="106" w:right="105"/>
              <w:rPr>
                <w:rFonts w:ascii="Times New Roman"/>
                <w:sz w:val="16"/>
              </w:rPr>
            </w:pPr>
            <w:r>
              <w:rPr>
                <w:rFonts w:ascii="Times New Roman"/>
                <w:color w:val="0D0D0D"/>
                <w:sz w:val="16"/>
              </w:rPr>
              <w:t>The review identified that the provider was fully compliant with all requirements of the standard.</w:t>
            </w:r>
          </w:p>
        </w:tc>
      </w:tr>
      <w:tr w:rsidR="006941EE" w14:paraId="31E743B7" w14:textId="77777777" w:rsidTr="00CD06D2">
        <w:trPr>
          <w:trHeight w:val="904"/>
        </w:trPr>
        <w:tc>
          <w:tcPr>
            <w:tcW w:w="2199" w:type="dxa"/>
          </w:tcPr>
          <w:p w14:paraId="1BEFF0CC" w14:textId="77777777" w:rsidR="006941EE" w:rsidRDefault="006941EE" w:rsidP="00CD06D2">
            <w:pPr>
              <w:pStyle w:val="TableParagraph"/>
              <w:rPr>
                <w:rFonts w:ascii="Times New Roman"/>
                <w:sz w:val="16"/>
              </w:rPr>
            </w:pPr>
            <w:r>
              <w:rPr>
                <w:rFonts w:ascii="Times New Roman"/>
                <w:color w:val="0D0D0D"/>
                <w:sz w:val="16"/>
              </w:rPr>
              <w:t>Provider Development</w:t>
            </w:r>
          </w:p>
        </w:tc>
        <w:tc>
          <w:tcPr>
            <w:tcW w:w="1722" w:type="dxa"/>
            <w:shd w:val="clear" w:color="auto" w:fill="92D050"/>
          </w:tcPr>
          <w:p w14:paraId="5EF58000" w14:textId="77777777" w:rsidR="006941EE" w:rsidRDefault="006941EE" w:rsidP="00CD06D2">
            <w:pPr>
              <w:pStyle w:val="TableParagraph"/>
              <w:ind w:left="107"/>
              <w:rPr>
                <w:rFonts w:ascii="Times New Roman"/>
                <w:sz w:val="16"/>
              </w:rPr>
            </w:pPr>
            <w:r>
              <w:rPr>
                <w:rFonts w:ascii="Times New Roman"/>
                <w:color w:val="0D0D0D"/>
                <w:sz w:val="16"/>
              </w:rPr>
              <w:t>Fully Compliant</w:t>
            </w:r>
          </w:p>
        </w:tc>
        <w:tc>
          <w:tcPr>
            <w:tcW w:w="1467" w:type="dxa"/>
          </w:tcPr>
          <w:p w14:paraId="0B3C5B31" w14:textId="77777777" w:rsidR="006941EE" w:rsidRDefault="006941EE" w:rsidP="00CD06D2">
            <w:pPr>
              <w:pStyle w:val="TableParagraph"/>
              <w:ind w:left="150"/>
              <w:rPr>
                <w:rFonts w:ascii="Times New Roman"/>
                <w:sz w:val="16"/>
              </w:rPr>
            </w:pPr>
            <w:r>
              <w:rPr>
                <w:rFonts w:ascii="Times New Roman"/>
                <w:color w:val="0D0D0D"/>
                <w:sz w:val="16"/>
              </w:rPr>
              <w:t>0</w:t>
            </w:r>
          </w:p>
        </w:tc>
        <w:tc>
          <w:tcPr>
            <w:tcW w:w="2912" w:type="dxa"/>
          </w:tcPr>
          <w:p w14:paraId="25831C74" w14:textId="77777777" w:rsidR="006941EE" w:rsidRDefault="006941EE" w:rsidP="00CD06D2">
            <w:pPr>
              <w:pStyle w:val="TableParagraph"/>
              <w:spacing w:line="288" w:lineRule="auto"/>
              <w:ind w:left="106" w:right="105"/>
              <w:rPr>
                <w:rFonts w:ascii="Times New Roman"/>
                <w:sz w:val="16"/>
              </w:rPr>
            </w:pPr>
            <w:r>
              <w:rPr>
                <w:rFonts w:ascii="Times New Roman"/>
                <w:color w:val="0D0D0D"/>
                <w:sz w:val="16"/>
              </w:rPr>
              <w:t>The review identified that the provider was fully compliant with all requirements of the standard.</w:t>
            </w:r>
          </w:p>
        </w:tc>
      </w:tr>
    </w:tbl>
    <w:p w14:paraId="101D9874" w14:textId="77777777" w:rsidR="006941EE" w:rsidRDefault="006941EE" w:rsidP="006941EE">
      <w:pPr>
        <w:spacing w:line="288" w:lineRule="auto"/>
        <w:rPr>
          <w:rFonts w:ascii="Times New Roman"/>
          <w:sz w:val="16"/>
        </w:rPr>
        <w:sectPr w:rsidR="006941EE" w:rsidSect="00A7608E">
          <w:pgSz w:w="11910" w:h="16840"/>
          <w:pgMar w:top="1040" w:right="1040" w:bottom="960" w:left="1020" w:header="0" w:footer="776" w:gutter="0"/>
          <w:cols w:space="720"/>
        </w:sectPr>
      </w:pPr>
    </w:p>
    <w:p w14:paraId="5A6E4CDE" w14:textId="77777777" w:rsidR="006941EE" w:rsidRDefault="006941EE" w:rsidP="006941EE">
      <w:pPr>
        <w:pStyle w:val="Heading2"/>
        <w:spacing w:before="75"/>
      </w:pPr>
      <w:r>
        <w:rPr>
          <w:color w:val="0D0D0D"/>
        </w:rPr>
        <w:lastRenderedPageBreak/>
        <w:t>Example: Introduction</w:t>
      </w:r>
    </w:p>
    <w:p w14:paraId="5487B95D" w14:textId="77777777" w:rsidR="006941EE" w:rsidRDefault="006941EE" w:rsidP="006941EE">
      <w:pPr>
        <w:pStyle w:val="BodyText"/>
        <w:spacing w:before="8"/>
        <w:rPr>
          <w:b/>
          <w:sz w:val="25"/>
        </w:rPr>
      </w:pPr>
    </w:p>
    <w:p w14:paraId="75DF0105" w14:textId="77777777" w:rsidR="006941EE" w:rsidRDefault="006941EE" w:rsidP="006941EE">
      <w:pPr>
        <w:pStyle w:val="BodyText"/>
        <w:spacing w:line="288" w:lineRule="auto"/>
        <w:ind w:left="112" w:right="313"/>
      </w:pPr>
      <w:r>
        <w:rPr>
          <w:color w:val="0D0D0D"/>
        </w:rPr>
        <w:t>The ESFA undertook a consultation on subcontracting reforms in February 2020. As part of that consultation, one of the proposals for reforming the future arrangements for subcontracting of ESFA funded post 16 education and training was that ESFA</w:t>
      </w:r>
    </w:p>
    <w:p w14:paraId="07370DAA" w14:textId="77777777" w:rsidR="006941EE" w:rsidRDefault="006941EE" w:rsidP="006941EE">
      <w:pPr>
        <w:pStyle w:val="BodyText"/>
        <w:spacing w:line="288" w:lineRule="auto"/>
        <w:ind w:left="112" w:right="1099"/>
      </w:pPr>
      <w:r>
        <w:rPr>
          <w:color w:val="0D0D0D"/>
        </w:rPr>
        <w:t>would develop an externally assured subcontracting standard to replace the audit certification process which was previously required.</w:t>
      </w:r>
    </w:p>
    <w:p w14:paraId="6613D526" w14:textId="77777777" w:rsidR="006941EE" w:rsidRDefault="006941EE" w:rsidP="006941EE">
      <w:pPr>
        <w:pStyle w:val="BodyText"/>
        <w:spacing w:before="10"/>
        <w:rPr>
          <w:sz w:val="20"/>
        </w:rPr>
      </w:pPr>
    </w:p>
    <w:p w14:paraId="21E4FAF5" w14:textId="77777777" w:rsidR="006941EE" w:rsidRDefault="006941EE" w:rsidP="006941EE">
      <w:pPr>
        <w:pStyle w:val="BodyText"/>
        <w:spacing w:line="288" w:lineRule="auto"/>
        <w:ind w:left="112" w:right="632"/>
      </w:pPr>
      <w:r>
        <w:rPr>
          <w:color w:val="0D0D0D"/>
        </w:rPr>
        <w:t>The subcontracting standard was introduced to the sector to drive improvement in the quality of contract management and oversight by lead providers. This standard will ensure that there is a clear and consistent approach for the (contract) management of subcontractors by lead providers and that there are robust assurance review arrangements. It will help to mitigate the risk of:</w:t>
      </w:r>
    </w:p>
    <w:p w14:paraId="687C4EE9" w14:textId="77777777" w:rsidR="006941EE" w:rsidRDefault="006941EE" w:rsidP="006941EE">
      <w:pPr>
        <w:pStyle w:val="BodyText"/>
        <w:rPr>
          <w:sz w:val="21"/>
        </w:rPr>
      </w:pPr>
    </w:p>
    <w:p w14:paraId="03EC2C8C" w14:textId="77777777" w:rsidR="006941EE" w:rsidRDefault="006941EE" w:rsidP="006941EE">
      <w:pPr>
        <w:pStyle w:val="ListParagraph"/>
        <w:widowControl w:val="0"/>
        <w:numPr>
          <w:ilvl w:val="0"/>
          <w:numId w:val="15"/>
        </w:numPr>
        <w:tabs>
          <w:tab w:val="left" w:pos="833"/>
          <w:tab w:val="left" w:pos="834"/>
        </w:tabs>
        <w:autoSpaceDE w:val="0"/>
        <w:autoSpaceDN w:val="0"/>
        <w:spacing w:after="0" w:line="293" w:lineRule="exact"/>
        <w:ind w:hanging="361"/>
        <w:contextualSpacing w:val="0"/>
        <w:rPr>
          <w:rFonts w:ascii="Symbol" w:hAnsi="Symbol"/>
          <w:color w:val="0D0D0D"/>
          <w:sz w:val="24"/>
        </w:rPr>
      </w:pPr>
      <w:r>
        <w:rPr>
          <w:color w:val="0D0D0D"/>
          <w:sz w:val="24"/>
        </w:rPr>
        <w:t>inadequate (contract) management of</w:t>
      </w:r>
      <w:r>
        <w:rPr>
          <w:color w:val="0D0D0D"/>
          <w:spacing w:val="-6"/>
          <w:sz w:val="24"/>
        </w:rPr>
        <w:t xml:space="preserve"> </w:t>
      </w:r>
      <w:r>
        <w:rPr>
          <w:color w:val="0D0D0D"/>
          <w:sz w:val="24"/>
        </w:rPr>
        <w:t>subcontractors</w:t>
      </w:r>
    </w:p>
    <w:p w14:paraId="1675998E" w14:textId="77777777" w:rsidR="006941EE" w:rsidRDefault="006941EE" w:rsidP="006941EE">
      <w:pPr>
        <w:pStyle w:val="ListParagraph"/>
        <w:widowControl w:val="0"/>
        <w:numPr>
          <w:ilvl w:val="0"/>
          <w:numId w:val="15"/>
        </w:numPr>
        <w:tabs>
          <w:tab w:val="left" w:pos="833"/>
          <w:tab w:val="left" w:pos="834"/>
        </w:tabs>
        <w:autoSpaceDE w:val="0"/>
        <w:autoSpaceDN w:val="0"/>
        <w:spacing w:after="0" w:line="293" w:lineRule="exact"/>
        <w:ind w:hanging="361"/>
        <w:contextualSpacing w:val="0"/>
        <w:rPr>
          <w:rFonts w:ascii="Symbol" w:hAnsi="Symbol"/>
          <w:color w:val="0D0D0D"/>
          <w:sz w:val="24"/>
        </w:rPr>
      </w:pPr>
      <w:r>
        <w:rPr>
          <w:color w:val="0D0D0D"/>
          <w:sz w:val="24"/>
        </w:rPr>
        <w:t>non-compliance with ESFA funding rules by subcontractors;</w:t>
      </w:r>
      <w:r>
        <w:rPr>
          <w:color w:val="0D0D0D"/>
          <w:spacing w:val="-11"/>
          <w:sz w:val="24"/>
        </w:rPr>
        <w:t xml:space="preserve"> </w:t>
      </w:r>
      <w:r>
        <w:rPr>
          <w:color w:val="0D0D0D"/>
          <w:sz w:val="24"/>
        </w:rPr>
        <w:t>and</w:t>
      </w:r>
    </w:p>
    <w:p w14:paraId="389093E2" w14:textId="77777777" w:rsidR="006941EE" w:rsidRDefault="006941EE" w:rsidP="006941EE">
      <w:pPr>
        <w:pStyle w:val="ListParagraph"/>
        <w:widowControl w:val="0"/>
        <w:numPr>
          <w:ilvl w:val="0"/>
          <w:numId w:val="15"/>
        </w:numPr>
        <w:tabs>
          <w:tab w:val="left" w:pos="833"/>
          <w:tab w:val="left" w:pos="834"/>
        </w:tabs>
        <w:autoSpaceDE w:val="0"/>
        <w:autoSpaceDN w:val="0"/>
        <w:spacing w:after="0" w:line="293" w:lineRule="exact"/>
        <w:ind w:hanging="361"/>
        <w:contextualSpacing w:val="0"/>
        <w:rPr>
          <w:rFonts w:ascii="Symbol" w:hAnsi="Symbol"/>
          <w:color w:val="0D0D0D"/>
          <w:sz w:val="24"/>
        </w:rPr>
      </w:pPr>
      <w:r>
        <w:rPr>
          <w:color w:val="0D0D0D"/>
          <w:sz w:val="24"/>
        </w:rPr>
        <w:t>fraudulent and incorrect funding</w:t>
      </w:r>
      <w:r>
        <w:rPr>
          <w:color w:val="0D0D0D"/>
          <w:spacing w:val="-4"/>
          <w:sz w:val="24"/>
        </w:rPr>
        <w:t xml:space="preserve"> </w:t>
      </w:r>
      <w:r>
        <w:rPr>
          <w:color w:val="0D0D0D"/>
          <w:sz w:val="24"/>
        </w:rPr>
        <w:t>claims</w:t>
      </w:r>
    </w:p>
    <w:p w14:paraId="1D8620E4" w14:textId="77777777" w:rsidR="006941EE" w:rsidRDefault="006941EE" w:rsidP="006941EE">
      <w:pPr>
        <w:pStyle w:val="BodyText"/>
        <w:spacing w:before="9"/>
        <w:rPr>
          <w:sz w:val="23"/>
        </w:rPr>
      </w:pPr>
    </w:p>
    <w:p w14:paraId="3DA891DC" w14:textId="77777777" w:rsidR="006941EE" w:rsidRDefault="006941EE" w:rsidP="006941EE">
      <w:pPr>
        <w:pStyle w:val="BodyText"/>
        <w:spacing w:line="288" w:lineRule="auto"/>
        <w:ind w:left="112" w:right="273"/>
      </w:pPr>
      <w:r>
        <w:rPr>
          <w:color w:val="0D0D0D"/>
        </w:rPr>
        <w:t>This report is a review of [</w:t>
      </w:r>
      <w:r>
        <w:rPr>
          <w:color w:val="FF0000"/>
        </w:rPr>
        <w:t>Provider ABC’s</w:t>
      </w:r>
      <w:r>
        <w:rPr>
          <w:color w:val="0D0D0D"/>
        </w:rPr>
        <w:t>] compliance against the subcontracting standard. It will assist in ESFA’s in its decision making as to whether the provider has the systems and controls in place to manage their subcontractors in line with the standard and provide assurance that subcontracted provision is appropriately managed.</w:t>
      </w:r>
    </w:p>
    <w:p w14:paraId="06F08642" w14:textId="77777777" w:rsidR="006941EE" w:rsidRDefault="006941EE" w:rsidP="006941EE">
      <w:pPr>
        <w:pStyle w:val="BodyText"/>
        <w:spacing w:before="8"/>
        <w:rPr>
          <w:sz w:val="20"/>
        </w:rPr>
      </w:pPr>
    </w:p>
    <w:p w14:paraId="545B4394" w14:textId="77777777" w:rsidR="006941EE" w:rsidRDefault="006941EE" w:rsidP="006941EE">
      <w:pPr>
        <w:pStyle w:val="Heading2"/>
      </w:pPr>
      <w:r>
        <w:rPr>
          <w:color w:val="0D0D0D"/>
        </w:rPr>
        <w:t>Example: Objectives and scope</w:t>
      </w:r>
    </w:p>
    <w:p w14:paraId="4C3C680C" w14:textId="77777777" w:rsidR="006941EE" w:rsidRDefault="006941EE" w:rsidP="006941EE">
      <w:pPr>
        <w:pStyle w:val="BodyText"/>
        <w:spacing w:before="8"/>
        <w:rPr>
          <w:b/>
          <w:sz w:val="25"/>
        </w:rPr>
      </w:pPr>
    </w:p>
    <w:p w14:paraId="447061AF" w14:textId="77777777" w:rsidR="006941EE" w:rsidRDefault="006941EE" w:rsidP="006941EE">
      <w:pPr>
        <w:pStyle w:val="BodyText"/>
        <w:spacing w:line="288" w:lineRule="auto"/>
        <w:ind w:left="112" w:right="299"/>
      </w:pPr>
      <w:r>
        <w:rPr>
          <w:color w:val="0D0D0D"/>
        </w:rPr>
        <w:t>The ESFA has designed the approach and methodology for this review. This is to ensure that the review sufficiently covers all requirements and that there is consistency in approach and quality.</w:t>
      </w:r>
    </w:p>
    <w:p w14:paraId="266061CC" w14:textId="77777777" w:rsidR="006941EE" w:rsidRDefault="006941EE" w:rsidP="006941EE">
      <w:pPr>
        <w:pStyle w:val="BodyText"/>
        <w:spacing w:before="10"/>
        <w:rPr>
          <w:sz w:val="20"/>
        </w:rPr>
      </w:pPr>
    </w:p>
    <w:p w14:paraId="5A94A62D" w14:textId="77777777" w:rsidR="006941EE" w:rsidRDefault="006941EE" w:rsidP="006941EE">
      <w:pPr>
        <w:pStyle w:val="BodyText"/>
        <w:spacing w:line="288" w:lineRule="auto"/>
        <w:ind w:left="112" w:right="298"/>
      </w:pPr>
      <w:r>
        <w:rPr>
          <w:color w:val="0D0D0D"/>
        </w:rPr>
        <w:t>It has been designed to gain assurance that providers are managing their subcontracted provision to a high standard that ensures that public funds are used appropriately and for the purpose for which they were intended.</w:t>
      </w:r>
    </w:p>
    <w:p w14:paraId="13B7E8BD" w14:textId="77777777" w:rsidR="006941EE" w:rsidRDefault="006941EE" w:rsidP="006941EE">
      <w:pPr>
        <w:pStyle w:val="BodyText"/>
        <w:spacing w:before="10"/>
        <w:rPr>
          <w:sz w:val="20"/>
        </w:rPr>
      </w:pPr>
    </w:p>
    <w:p w14:paraId="11684CB7" w14:textId="77777777" w:rsidR="006941EE" w:rsidRDefault="006941EE" w:rsidP="006941EE">
      <w:pPr>
        <w:pStyle w:val="BodyText"/>
        <w:spacing w:before="1" w:line="288" w:lineRule="auto"/>
        <w:ind w:left="112" w:right="886"/>
      </w:pPr>
      <w:r>
        <w:rPr>
          <w:color w:val="0D0D0D"/>
        </w:rPr>
        <w:t>Our review covered all requirements of the standard as detailed in the executive summary and the compliance with the subcontracting funding rules which cover the following funding streams:</w:t>
      </w:r>
    </w:p>
    <w:p w14:paraId="6953C8D7" w14:textId="77777777" w:rsidR="006941EE" w:rsidRDefault="006941EE" w:rsidP="006941EE">
      <w:pPr>
        <w:pStyle w:val="BodyText"/>
        <w:spacing w:before="11"/>
        <w:rPr>
          <w:sz w:val="20"/>
        </w:rPr>
      </w:pPr>
    </w:p>
    <w:p w14:paraId="4E4CE16E" w14:textId="77777777" w:rsidR="006941EE" w:rsidRDefault="006941EE" w:rsidP="006941EE">
      <w:pPr>
        <w:pStyle w:val="ListParagraph"/>
        <w:widowControl w:val="0"/>
        <w:numPr>
          <w:ilvl w:val="0"/>
          <w:numId w:val="14"/>
        </w:numPr>
        <w:tabs>
          <w:tab w:val="left" w:pos="473"/>
          <w:tab w:val="left" w:pos="474"/>
        </w:tabs>
        <w:autoSpaceDE w:val="0"/>
        <w:autoSpaceDN w:val="0"/>
        <w:spacing w:after="0" w:line="240" w:lineRule="auto"/>
        <w:ind w:hanging="362"/>
        <w:contextualSpacing w:val="0"/>
        <w:rPr>
          <w:sz w:val="24"/>
        </w:rPr>
      </w:pPr>
      <w:r>
        <w:rPr>
          <w:color w:val="0D0D0D"/>
          <w:sz w:val="24"/>
        </w:rPr>
        <w:t>carry-in</w:t>
      </w:r>
      <w:r>
        <w:rPr>
          <w:color w:val="0D0D0D"/>
          <w:spacing w:val="-1"/>
          <w:sz w:val="24"/>
        </w:rPr>
        <w:t xml:space="preserve"> </w:t>
      </w:r>
      <w:r>
        <w:rPr>
          <w:color w:val="0D0D0D"/>
          <w:sz w:val="24"/>
        </w:rPr>
        <w:t>apprenticeships</w:t>
      </w:r>
    </w:p>
    <w:p w14:paraId="7671266E" w14:textId="77777777" w:rsidR="006941EE" w:rsidRDefault="006941EE" w:rsidP="006941EE">
      <w:pPr>
        <w:pStyle w:val="ListParagraph"/>
        <w:widowControl w:val="0"/>
        <w:numPr>
          <w:ilvl w:val="0"/>
          <w:numId w:val="14"/>
        </w:numPr>
        <w:tabs>
          <w:tab w:val="left" w:pos="473"/>
          <w:tab w:val="left" w:pos="474"/>
        </w:tabs>
        <w:autoSpaceDE w:val="0"/>
        <w:autoSpaceDN w:val="0"/>
        <w:spacing w:before="119" w:after="0" w:line="240" w:lineRule="auto"/>
        <w:ind w:hanging="362"/>
        <w:contextualSpacing w:val="0"/>
        <w:rPr>
          <w:sz w:val="24"/>
        </w:rPr>
      </w:pPr>
      <w:r>
        <w:rPr>
          <w:color w:val="0D0D0D"/>
          <w:sz w:val="24"/>
        </w:rPr>
        <w:t>adult education</w:t>
      </w:r>
      <w:r>
        <w:rPr>
          <w:color w:val="0D0D0D"/>
          <w:spacing w:val="-3"/>
          <w:sz w:val="24"/>
        </w:rPr>
        <w:t xml:space="preserve"> </w:t>
      </w:r>
      <w:r>
        <w:rPr>
          <w:color w:val="0D0D0D"/>
          <w:sz w:val="24"/>
        </w:rPr>
        <w:t>budget</w:t>
      </w:r>
    </w:p>
    <w:p w14:paraId="6DDC3242" w14:textId="77777777" w:rsidR="006941EE" w:rsidRDefault="006941EE" w:rsidP="006941EE">
      <w:pPr>
        <w:pStyle w:val="ListParagraph"/>
        <w:widowControl w:val="0"/>
        <w:numPr>
          <w:ilvl w:val="0"/>
          <w:numId w:val="14"/>
        </w:numPr>
        <w:tabs>
          <w:tab w:val="left" w:pos="473"/>
          <w:tab w:val="left" w:pos="474"/>
        </w:tabs>
        <w:autoSpaceDE w:val="0"/>
        <w:autoSpaceDN w:val="0"/>
        <w:spacing w:before="118" w:after="0" w:line="240" w:lineRule="auto"/>
        <w:ind w:hanging="362"/>
        <w:contextualSpacing w:val="0"/>
        <w:rPr>
          <w:sz w:val="24"/>
        </w:rPr>
      </w:pPr>
      <w:r>
        <w:rPr>
          <w:color w:val="0D0D0D"/>
          <w:sz w:val="24"/>
        </w:rPr>
        <w:t>apprenticeships (for starts from 1 May</w:t>
      </w:r>
      <w:r>
        <w:rPr>
          <w:color w:val="0D0D0D"/>
          <w:spacing w:val="-1"/>
          <w:sz w:val="24"/>
        </w:rPr>
        <w:t xml:space="preserve"> </w:t>
      </w:r>
      <w:r>
        <w:rPr>
          <w:color w:val="0D0D0D"/>
          <w:sz w:val="24"/>
        </w:rPr>
        <w:t>2017)</w:t>
      </w:r>
    </w:p>
    <w:p w14:paraId="33810830" w14:textId="77777777" w:rsidR="006941EE" w:rsidRDefault="006941EE" w:rsidP="006941EE">
      <w:pPr>
        <w:pStyle w:val="ListParagraph"/>
        <w:widowControl w:val="0"/>
        <w:numPr>
          <w:ilvl w:val="0"/>
          <w:numId w:val="14"/>
        </w:numPr>
        <w:tabs>
          <w:tab w:val="left" w:pos="473"/>
          <w:tab w:val="left" w:pos="474"/>
        </w:tabs>
        <w:autoSpaceDE w:val="0"/>
        <w:autoSpaceDN w:val="0"/>
        <w:spacing w:before="119" w:after="0" w:line="240" w:lineRule="auto"/>
        <w:ind w:hanging="362"/>
        <w:contextualSpacing w:val="0"/>
        <w:rPr>
          <w:sz w:val="24"/>
        </w:rPr>
      </w:pPr>
      <w:r>
        <w:rPr>
          <w:color w:val="0D0D0D"/>
          <w:sz w:val="24"/>
        </w:rPr>
        <w:t>16 to 19 study</w:t>
      </w:r>
      <w:r>
        <w:rPr>
          <w:color w:val="0D0D0D"/>
          <w:spacing w:val="-1"/>
          <w:sz w:val="24"/>
        </w:rPr>
        <w:t xml:space="preserve"> </w:t>
      </w:r>
      <w:r>
        <w:rPr>
          <w:color w:val="0D0D0D"/>
          <w:sz w:val="24"/>
        </w:rPr>
        <w:t>programmes</w:t>
      </w:r>
    </w:p>
    <w:p w14:paraId="7823D6CD" w14:textId="77777777" w:rsidR="006941EE" w:rsidRDefault="006941EE" w:rsidP="006941EE">
      <w:pPr>
        <w:rPr>
          <w:sz w:val="24"/>
        </w:rPr>
        <w:sectPr w:rsidR="006941EE" w:rsidSect="00A7608E">
          <w:pgSz w:w="11910" w:h="16840"/>
          <w:pgMar w:top="1040" w:right="1040" w:bottom="960" w:left="1020" w:header="0" w:footer="776" w:gutter="0"/>
          <w:cols w:space="720"/>
        </w:sectPr>
      </w:pPr>
    </w:p>
    <w:p w14:paraId="4B1D7DF5" w14:textId="77777777" w:rsidR="005D11A2" w:rsidRPr="00981E1A" w:rsidRDefault="005D11A2" w:rsidP="005505E2">
      <w:pPr>
        <w:pStyle w:val="Heading2"/>
        <w:spacing w:before="75"/>
        <w:rPr>
          <w:rFonts w:ascii="Century Gothic" w:hAnsi="Century Gothic"/>
        </w:rPr>
      </w:pPr>
    </w:p>
    <w:sectPr w:rsidR="005D11A2" w:rsidRPr="00981E1A" w:rsidSect="00A7608E">
      <w:footerReference w:type="default" r:id="rId18"/>
      <w:pgSz w:w="11910" w:h="16840"/>
      <w:pgMar w:top="1040" w:right="1040" w:bottom="960" w:left="10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2DCA" w14:textId="77777777" w:rsidR="00602B02" w:rsidRDefault="00602B02" w:rsidP="005D11A2">
      <w:pPr>
        <w:spacing w:after="0" w:line="240" w:lineRule="auto"/>
      </w:pPr>
      <w:r>
        <w:separator/>
      </w:r>
    </w:p>
  </w:endnote>
  <w:endnote w:type="continuationSeparator" w:id="0">
    <w:p w14:paraId="3AFEAD11" w14:textId="77777777" w:rsidR="00602B02" w:rsidRDefault="00602B02" w:rsidP="005D11A2">
      <w:pPr>
        <w:spacing w:after="0" w:line="240" w:lineRule="auto"/>
      </w:pPr>
      <w:r>
        <w:continuationSeparator/>
      </w:r>
    </w:p>
  </w:endnote>
  <w:endnote w:type="continuationNotice" w:id="1">
    <w:p w14:paraId="22BD7689" w14:textId="77777777" w:rsidR="00602B02" w:rsidRDefault="00602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794015"/>
      <w:docPartObj>
        <w:docPartGallery w:val="Page Numbers (Bottom of Page)"/>
        <w:docPartUnique/>
      </w:docPartObj>
    </w:sdtPr>
    <w:sdtEndPr>
      <w:rPr>
        <w:rFonts w:ascii="Arial Rounded MT Bold" w:hAnsi="Arial Rounded MT Bold"/>
        <w:noProof/>
      </w:rPr>
    </w:sdtEndPr>
    <w:sdtContent>
      <w:p w14:paraId="6638A022" w14:textId="77777777" w:rsidR="00CD06D2" w:rsidRPr="006941EE" w:rsidRDefault="00CD06D2">
        <w:pPr>
          <w:pStyle w:val="Footer"/>
          <w:jc w:val="center"/>
          <w:rPr>
            <w:rFonts w:ascii="Arial Rounded MT Bold" w:hAnsi="Arial Rounded MT Bold"/>
          </w:rPr>
        </w:pPr>
        <w:r w:rsidRPr="006941EE">
          <w:rPr>
            <w:rFonts w:ascii="Arial Rounded MT Bold" w:hAnsi="Arial Rounded MT Bold"/>
          </w:rPr>
          <w:fldChar w:fldCharType="begin"/>
        </w:r>
        <w:r w:rsidRPr="006941EE">
          <w:rPr>
            <w:rFonts w:ascii="Arial Rounded MT Bold" w:hAnsi="Arial Rounded MT Bold"/>
          </w:rPr>
          <w:instrText xml:space="preserve"> PAGE   \* MERGEFORMAT </w:instrText>
        </w:r>
        <w:r w:rsidRPr="006941EE">
          <w:rPr>
            <w:rFonts w:ascii="Arial Rounded MT Bold" w:hAnsi="Arial Rounded MT Bold"/>
          </w:rPr>
          <w:fldChar w:fldCharType="separate"/>
        </w:r>
        <w:r w:rsidR="00052E45">
          <w:rPr>
            <w:rFonts w:ascii="Arial Rounded MT Bold" w:hAnsi="Arial Rounded MT Bold"/>
            <w:noProof/>
          </w:rPr>
          <w:t>1</w:t>
        </w:r>
        <w:r w:rsidRPr="006941EE">
          <w:rPr>
            <w:rFonts w:ascii="Arial Rounded MT Bold" w:hAnsi="Arial Rounded MT Bold"/>
            <w:noProof/>
          </w:rPr>
          <w:fldChar w:fldCharType="end"/>
        </w:r>
      </w:p>
    </w:sdtContent>
  </w:sdt>
  <w:p w14:paraId="25642D2B" w14:textId="77777777" w:rsidR="00CD06D2" w:rsidRDefault="00CD0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EAFD" w14:textId="77777777" w:rsidR="00CD06D2" w:rsidRDefault="00CD06D2">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65FFB475" wp14:editId="1DBAD9C0">
              <wp:simplePos x="0" y="0"/>
              <wp:positionH relativeFrom="page">
                <wp:posOffset>3547110</wp:posOffset>
              </wp:positionH>
              <wp:positionV relativeFrom="page">
                <wp:posOffset>10060305</wp:posOffset>
              </wp:positionV>
              <wp:extent cx="247015" cy="196215"/>
              <wp:effectExtent l="3810" t="1905"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06E26" w14:textId="77777777" w:rsidR="00CD06D2" w:rsidRDefault="00CD06D2">
                          <w:pPr>
                            <w:pStyle w:val="BodyText"/>
                            <w:spacing w:before="12"/>
                            <w:ind w:left="60"/>
                          </w:pPr>
                          <w:r>
                            <w:fldChar w:fldCharType="begin"/>
                          </w:r>
                          <w:r>
                            <w:rPr>
                              <w:color w:val="0D0D0D"/>
                            </w:rPr>
                            <w:instrText xml:space="preserve"> PAGE </w:instrText>
                          </w:r>
                          <w:r>
                            <w:fldChar w:fldCharType="separate"/>
                          </w:r>
                          <w:r w:rsidR="00052E45">
                            <w:rPr>
                              <w:noProof/>
                              <w:color w:val="0D0D0D"/>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FB475" id="_x0000_t202" coordsize="21600,21600" o:spt="202" path="m,l,21600r21600,l21600,xe">
              <v:stroke joinstyle="miter"/>
              <v:path gradientshapeok="t" o:connecttype="rect"/>
            </v:shapetype>
            <v:shape id="Text Box 14" o:spid="_x0000_s1026" type="#_x0000_t202" style="position:absolute;margin-left:279.3pt;margin-top:792.15pt;width:19.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" filled="f" stroked="f">
              <v:textbox inset="0,0,0,0">
                <w:txbxContent>
                  <w:p w14:paraId="24406E26" w14:textId="77777777" w:rsidR="00CD06D2" w:rsidRDefault="00CD06D2">
                    <w:pPr>
                      <w:pStyle w:val="BodyText"/>
                      <w:spacing w:before="12"/>
                      <w:ind w:left="60"/>
                    </w:pPr>
                    <w:r>
                      <w:fldChar w:fldCharType="begin"/>
                    </w:r>
                    <w:r>
                      <w:rPr>
                        <w:color w:val="0D0D0D"/>
                      </w:rPr>
                      <w:instrText xml:space="preserve"> PAGE </w:instrText>
                    </w:r>
                    <w:r>
                      <w:fldChar w:fldCharType="separate"/>
                    </w:r>
                    <w:r w:rsidR="00052E45">
                      <w:rPr>
                        <w:noProof/>
                        <w:color w:val="0D0D0D"/>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598406"/>
      <w:docPartObj>
        <w:docPartGallery w:val="Page Numbers (Bottom of Page)"/>
        <w:docPartUnique/>
      </w:docPartObj>
    </w:sdtPr>
    <w:sdtEndPr>
      <w:rPr>
        <w:rFonts w:ascii="Century Gothic" w:hAnsi="Century Gothic"/>
        <w:b/>
        <w:color w:val="7F7F7F" w:themeColor="background1" w:themeShade="7F"/>
        <w:spacing w:val="60"/>
      </w:rPr>
    </w:sdtEndPr>
    <w:sdtContent>
      <w:p w14:paraId="3327BC8B" w14:textId="77777777" w:rsidR="00CD06D2" w:rsidRPr="005D11A2" w:rsidRDefault="00CD06D2" w:rsidP="005D11A2">
        <w:pPr>
          <w:pStyle w:val="Footer"/>
          <w:pBdr>
            <w:top w:val="single" w:sz="4" w:space="1" w:color="D9D9D9" w:themeColor="background1" w:themeShade="D9"/>
          </w:pBdr>
          <w:jc w:val="center"/>
          <w:rPr>
            <w:rFonts w:ascii="Century Gothic" w:hAnsi="Century Gothic"/>
            <w:b/>
          </w:rPr>
        </w:pPr>
        <w:r w:rsidRPr="005D11A2">
          <w:rPr>
            <w:rFonts w:ascii="Century Gothic" w:hAnsi="Century Gothic"/>
            <w:b/>
          </w:rPr>
          <w:fldChar w:fldCharType="begin"/>
        </w:r>
        <w:r w:rsidRPr="005D11A2">
          <w:rPr>
            <w:rFonts w:ascii="Century Gothic" w:hAnsi="Century Gothic"/>
            <w:b/>
          </w:rPr>
          <w:instrText xml:space="preserve"> PAGE   \* MERGEFORMAT </w:instrText>
        </w:r>
        <w:r w:rsidRPr="005D11A2">
          <w:rPr>
            <w:rFonts w:ascii="Century Gothic" w:hAnsi="Century Gothic"/>
            <w:b/>
          </w:rPr>
          <w:fldChar w:fldCharType="separate"/>
        </w:r>
        <w:r w:rsidR="00130097">
          <w:rPr>
            <w:rFonts w:ascii="Century Gothic" w:hAnsi="Century Gothic"/>
            <w:b/>
            <w:noProof/>
          </w:rPr>
          <w:t>25</w:t>
        </w:r>
        <w:r w:rsidRPr="005D11A2">
          <w:rPr>
            <w:rFonts w:ascii="Century Gothic" w:hAnsi="Century Gothic"/>
            <w:b/>
            <w:noProof/>
          </w:rPr>
          <w:fldChar w:fldCharType="end"/>
        </w:r>
      </w:p>
    </w:sdtContent>
  </w:sdt>
  <w:p w14:paraId="1678DEB0" w14:textId="77777777" w:rsidR="00CD06D2" w:rsidRDefault="00CD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9F43" w14:textId="77777777" w:rsidR="00602B02" w:rsidRDefault="00602B02" w:rsidP="005D11A2">
      <w:pPr>
        <w:spacing w:after="0" w:line="240" w:lineRule="auto"/>
      </w:pPr>
      <w:r>
        <w:separator/>
      </w:r>
    </w:p>
  </w:footnote>
  <w:footnote w:type="continuationSeparator" w:id="0">
    <w:p w14:paraId="06DF7D59" w14:textId="77777777" w:rsidR="00602B02" w:rsidRDefault="00602B02" w:rsidP="005D11A2">
      <w:pPr>
        <w:spacing w:after="0" w:line="240" w:lineRule="auto"/>
      </w:pPr>
      <w:r>
        <w:continuationSeparator/>
      </w:r>
    </w:p>
  </w:footnote>
  <w:footnote w:type="continuationNotice" w:id="1">
    <w:p w14:paraId="7B2904CE" w14:textId="77777777" w:rsidR="00602B02" w:rsidRDefault="00602B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765"/>
    <w:multiLevelType w:val="hybridMultilevel"/>
    <w:tmpl w:val="BDCC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4691A"/>
    <w:multiLevelType w:val="hybridMultilevel"/>
    <w:tmpl w:val="A57CF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44733C"/>
    <w:multiLevelType w:val="hybridMultilevel"/>
    <w:tmpl w:val="4420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512CB"/>
    <w:multiLevelType w:val="hybridMultilevel"/>
    <w:tmpl w:val="3D4A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E3929"/>
    <w:multiLevelType w:val="hybridMultilevel"/>
    <w:tmpl w:val="555E6846"/>
    <w:lvl w:ilvl="0" w:tplc="D32CD4B8">
      <w:start w:val="1"/>
      <w:numFmt w:val="lowerLetter"/>
      <w:lvlText w:val="%1."/>
      <w:lvlJc w:val="left"/>
      <w:pPr>
        <w:ind w:left="1546" w:hanging="356"/>
        <w:jc w:val="left"/>
      </w:pPr>
      <w:rPr>
        <w:rFonts w:ascii="Arial" w:eastAsia="Arial" w:hAnsi="Arial" w:cs="Arial" w:hint="default"/>
        <w:spacing w:val="-4"/>
        <w:w w:val="100"/>
        <w:sz w:val="24"/>
        <w:szCs w:val="24"/>
      </w:rPr>
    </w:lvl>
    <w:lvl w:ilvl="1" w:tplc="3620CCD6">
      <w:numFmt w:val="bullet"/>
      <w:lvlText w:val="•"/>
      <w:lvlJc w:val="left"/>
      <w:pPr>
        <w:ind w:left="2370" w:hanging="356"/>
      </w:pPr>
      <w:rPr>
        <w:rFonts w:hint="default"/>
      </w:rPr>
    </w:lvl>
    <w:lvl w:ilvl="2" w:tplc="CF1865CC">
      <w:numFmt w:val="bullet"/>
      <w:lvlText w:val="•"/>
      <w:lvlJc w:val="left"/>
      <w:pPr>
        <w:ind w:left="3201" w:hanging="356"/>
      </w:pPr>
      <w:rPr>
        <w:rFonts w:hint="default"/>
      </w:rPr>
    </w:lvl>
    <w:lvl w:ilvl="3" w:tplc="A17ED980">
      <w:numFmt w:val="bullet"/>
      <w:lvlText w:val="•"/>
      <w:lvlJc w:val="left"/>
      <w:pPr>
        <w:ind w:left="4031" w:hanging="356"/>
      </w:pPr>
      <w:rPr>
        <w:rFonts w:hint="default"/>
      </w:rPr>
    </w:lvl>
    <w:lvl w:ilvl="4" w:tplc="9698BEAC">
      <w:numFmt w:val="bullet"/>
      <w:lvlText w:val="•"/>
      <w:lvlJc w:val="left"/>
      <w:pPr>
        <w:ind w:left="4862" w:hanging="356"/>
      </w:pPr>
      <w:rPr>
        <w:rFonts w:hint="default"/>
      </w:rPr>
    </w:lvl>
    <w:lvl w:ilvl="5" w:tplc="8514C93C">
      <w:numFmt w:val="bullet"/>
      <w:lvlText w:val="•"/>
      <w:lvlJc w:val="left"/>
      <w:pPr>
        <w:ind w:left="5693" w:hanging="356"/>
      </w:pPr>
      <w:rPr>
        <w:rFonts w:hint="default"/>
      </w:rPr>
    </w:lvl>
    <w:lvl w:ilvl="6" w:tplc="A6E402E6">
      <w:numFmt w:val="bullet"/>
      <w:lvlText w:val="•"/>
      <w:lvlJc w:val="left"/>
      <w:pPr>
        <w:ind w:left="6523" w:hanging="356"/>
      </w:pPr>
      <w:rPr>
        <w:rFonts w:hint="default"/>
      </w:rPr>
    </w:lvl>
    <w:lvl w:ilvl="7" w:tplc="A5DC55F0">
      <w:numFmt w:val="bullet"/>
      <w:lvlText w:val="•"/>
      <w:lvlJc w:val="left"/>
      <w:pPr>
        <w:ind w:left="7354" w:hanging="356"/>
      </w:pPr>
      <w:rPr>
        <w:rFonts w:hint="default"/>
      </w:rPr>
    </w:lvl>
    <w:lvl w:ilvl="8" w:tplc="64CEB112">
      <w:numFmt w:val="bullet"/>
      <w:lvlText w:val="•"/>
      <w:lvlJc w:val="left"/>
      <w:pPr>
        <w:ind w:left="8185" w:hanging="356"/>
      </w:pPr>
      <w:rPr>
        <w:rFonts w:hint="default"/>
      </w:rPr>
    </w:lvl>
  </w:abstractNum>
  <w:abstractNum w:abstractNumId="5" w15:restartNumberingAfterBreak="0">
    <w:nsid w:val="126E29BD"/>
    <w:multiLevelType w:val="hybridMultilevel"/>
    <w:tmpl w:val="F702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26AE3"/>
    <w:multiLevelType w:val="multilevel"/>
    <w:tmpl w:val="20FA6E9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4A5B15"/>
    <w:multiLevelType w:val="hybridMultilevel"/>
    <w:tmpl w:val="E1E4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F01E9"/>
    <w:multiLevelType w:val="multilevel"/>
    <w:tmpl w:val="04FEC1EE"/>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7B4EA4"/>
    <w:multiLevelType w:val="hybridMultilevel"/>
    <w:tmpl w:val="8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97118"/>
    <w:multiLevelType w:val="multilevel"/>
    <w:tmpl w:val="A4B43F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C92199"/>
    <w:multiLevelType w:val="hybridMultilevel"/>
    <w:tmpl w:val="122C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F2C77"/>
    <w:multiLevelType w:val="hybridMultilevel"/>
    <w:tmpl w:val="5A280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26154D"/>
    <w:multiLevelType w:val="hybridMultilevel"/>
    <w:tmpl w:val="B1301374"/>
    <w:lvl w:ilvl="0" w:tplc="99C8FF1C">
      <w:start w:val="1"/>
      <w:numFmt w:val="decimal"/>
      <w:lvlText w:val="%1."/>
      <w:lvlJc w:val="left"/>
      <w:pPr>
        <w:ind w:left="593" w:hanging="481"/>
        <w:jc w:val="left"/>
      </w:pPr>
      <w:rPr>
        <w:rFonts w:ascii="Arial" w:eastAsia="Arial" w:hAnsi="Arial" w:cs="Arial" w:hint="default"/>
        <w:color w:val="0D0D0D"/>
        <w:spacing w:val="-1"/>
        <w:w w:val="100"/>
        <w:sz w:val="24"/>
        <w:szCs w:val="24"/>
      </w:rPr>
    </w:lvl>
    <w:lvl w:ilvl="1" w:tplc="5D7A944E">
      <w:numFmt w:val="bullet"/>
      <w:lvlText w:val=""/>
      <w:lvlJc w:val="left"/>
      <w:pPr>
        <w:ind w:left="900" w:hanging="360"/>
      </w:pPr>
      <w:rPr>
        <w:rFonts w:ascii="Symbol" w:eastAsia="Symbol" w:hAnsi="Symbol" w:cs="Symbol" w:hint="default"/>
        <w:w w:val="100"/>
        <w:sz w:val="24"/>
        <w:szCs w:val="24"/>
      </w:rPr>
    </w:lvl>
    <w:lvl w:ilvl="2" w:tplc="E0F815D4">
      <w:numFmt w:val="bullet"/>
      <w:lvlText w:val="•"/>
      <w:lvlJc w:val="left"/>
      <w:pPr>
        <w:ind w:left="1894" w:hanging="360"/>
      </w:pPr>
      <w:rPr>
        <w:rFonts w:hint="default"/>
      </w:rPr>
    </w:lvl>
    <w:lvl w:ilvl="3" w:tplc="A4E0976C">
      <w:numFmt w:val="bullet"/>
      <w:lvlText w:val="•"/>
      <w:lvlJc w:val="left"/>
      <w:pPr>
        <w:ind w:left="2888" w:hanging="360"/>
      </w:pPr>
      <w:rPr>
        <w:rFonts w:hint="default"/>
      </w:rPr>
    </w:lvl>
    <w:lvl w:ilvl="4" w:tplc="87309F2E">
      <w:numFmt w:val="bullet"/>
      <w:lvlText w:val="•"/>
      <w:lvlJc w:val="left"/>
      <w:pPr>
        <w:ind w:left="3882" w:hanging="360"/>
      </w:pPr>
      <w:rPr>
        <w:rFonts w:hint="default"/>
      </w:rPr>
    </w:lvl>
    <w:lvl w:ilvl="5" w:tplc="1BBA1ECE">
      <w:numFmt w:val="bullet"/>
      <w:lvlText w:val="•"/>
      <w:lvlJc w:val="left"/>
      <w:pPr>
        <w:ind w:left="4876" w:hanging="360"/>
      </w:pPr>
      <w:rPr>
        <w:rFonts w:hint="default"/>
      </w:rPr>
    </w:lvl>
    <w:lvl w:ilvl="6" w:tplc="37B6AFF2">
      <w:numFmt w:val="bullet"/>
      <w:lvlText w:val="•"/>
      <w:lvlJc w:val="left"/>
      <w:pPr>
        <w:ind w:left="5870" w:hanging="360"/>
      </w:pPr>
      <w:rPr>
        <w:rFonts w:hint="default"/>
      </w:rPr>
    </w:lvl>
    <w:lvl w:ilvl="7" w:tplc="8564C2F0">
      <w:numFmt w:val="bullet"/>
      <w:lvlText w:val="•"/>
      <w:lvlJc w:val="left"/>
      <w:pPr>
        <w:ind w:left="6864" w:hanging="360"/>
      </w:pPr>
      <w:rPr>
        <w:rFonts w:hint="default"/>
      </w:rPr>
    </w:lvl>
    <w:lvl w:ilvl="8" w:tplc="1E12F126">
      <w:numFmt w:val="bullet"/>
      <w:lvlText w:val="•"/>
      <w:lvlJc w:val="left"/>
      <w:pPr>
        <w:ind w:left="7858" w:hanging="360"/>
      </w:pPr>
      <w:rPr>
        <w:rFonts w:hint="default"/>
      </w:rPr>
    </w:lvl>
  </w:abstractNum>
  <w:abstractNum w:abstractNumId="14" w15:restartNumberingAfterBreak="0">
    <w:nsid w:val="3A1B5A17"/>
    <w:multiLevelType w:val="hybridMultilevel"/>
    <w:tmpl w:val="EB20B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3F3968"/>
    <w:multiLevelType w:val="hybridMultilevel"/>
    <w:tmpl w:val="918C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44A82"/>
    <w:multiLevelType w:val="hybridMultilevel"/>
    <w:tmpl w:val="39D8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A0672"/>
    <w:multiLevelType w:val="hybridMultilevel"/>
    <w:tmpl w:val="F70E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93894"/>
    <w:multiLevelType w:val="hybridMultilevel"/>
    <w:tmpl w:val="80BAC3D6"/>
    <w:lvl w:ilvl="0" w:tplc="A03207CC">
      <w:start w:val="1"/>
      <w:numFmt w:val="lowerLetter"/>
      <w:lvlText w:val="%1."/>
      <w:lvlJc w:val="left"/>
      <w:pPr>
        <w:ind w:left="1553" w:hanging="360"/>
        <w:jc w:val="left"/>
      </w:pPr>
      <w:rPr>
        <w:rFonts w:ascii="Arial" w:eastAsia="Arial" w:hAnsi="Arial" w:cs="Arial" w:hint="default"/>
        <w:color w:val="0D0D0D"/>
        <w:spacing w:val="-3"/>
        <w:w w:val="100"/>
        <w:sz w:val="24"/>
        <w:szCs w:val="24"/>
      </w:rPr>
    </w:lvl>
    <w:lvl w:ilvl="1" w:tplc="5EA6A150">
      <w:numFmt w:val="bullet"/>
      <w:lvlText w:val="•"/>
      <w:lvlJc w:val="left"/>
      <w:pPr>
        <w:ind w:left="2388" w:hanging="360"/>
      </w:pPr>
      <w:rPr>
        <w:rFonts w:hint="default"/>
      </w:rPr>
    </w:lvl>
    <w:lvl w:ilvl="2" w:tplc="0EF66E7E">
      <w:numFmt w:val="bullet"/>
      <w:lvlText w:val="•"/>
      <w:lvlJc w:val="left"/>
      <w:pPr>
        <w:ind w:left="3217" w:hanging="360"/>
      </w:pPr>
      <w:rPr>
        <w:rFonts w:hint="default"/>
      </w:rPr>
    </w:lvl>
    <w:lvl w:ilvl="3" w:tplc="74208714">
      <w:numFmt w:val="bullet"/>
      <w:lvlText w:val="•"/>
      <w:lvlJc w:val="left"/>
      <w:pPr>
        <w:ind w:left="4045" w:hanging="360"/>
      </w:pPr>
      <w:rPr>
        <w:rFonts w:hint="default"/>
      </w:rPr>
    </w:lvl>
    <w:lvl w:ilvl="4" w:tplc="8146FBEE">
      <w:numFmt w:val="bullet"/>
      <w:lvlText w:val="•"/>
      <w:lvlJc w:val="left"/>
      <w:pPr>
        <w:ind w:left="4874" w:hanging="360"/>
      </w:pPr>
      <w:rPr>
        <w:rFonts w:hint="default"/>
      </w:rPr>
    </w:lvl>
    <w:lvl w:ilvl="5" w:tplc="8C6EE7E8">
      <w:numFmt w:val="bullet"/>
      <w:lvlText w:val="•"/>
      <w:lvlJc w:val="left"/>
      <w:pPr>
        <w:ind w:left="5703" w:hanging="360"/>
      </w:pPr>
      <w:rPr>
        <w:rFonts w:hint="default"/>
      </w:rPr>
    </w:lvl>
    <w:lvl w:ilvl="6" w:tplc="6C50B2C6">
      <w:numFmt w:val="bullet"/>
      <w:lvlText w:val="•"/>
      <w:lvlJc w:val="left"/>
      <w:pPr>
        <w:ind w:left="6531" w:hanging="360"/>
      </w:pPr>
      <w:rPr>
        <w:rFonts w:hint="default"/>
      </w:rPr>
    </w:lvl>
    <w:lvl w:ilvl="7" w:tplc="EFE4AEE6">
      <w:numFmt w:val="bullet"/>
      <w:lvlText w:val="•"/>
      <w:lvlJc w:val="left"/>
      <w:pPr>
        <w:ind w:left="7360" w:hanging="360"/>
      </w:pPr>
      <w:rPr>
        <w:rFonts w:hint="default"/>
      </w:rPr>
    </w:lvl>
    <w:lvl w:ilvl="8" w:tplc="20FCD856">
      <w:numFmt w:val="bullet"/>
      <w:lvlText w:val="•"/>
      <w:lvlJc w:val="left"/>
      <w:pPr>
        <w:ind w:left="8189" w:hanging="360"/>
      </w:pPr>
      <w:rPr>
        <w:rFonts w:hint="default"/>
      </w:rPr>
    </w:lvl>
  </w:abstractNum>
  <w:abstractNum w:abstractNumId="19" w15:restartNumberingAfterBreak="0">
    <w:nsid w:val="46277BE0"/>
    <w:multiLevelType w:val="hybridMultilevel"/>
    <w:tmpl w:val="10C8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C56AA"/>
    <w:multiLevelType w:val="hybridMultilevel"/>
    <w:tmpl w:val="22125244"/>
    <w:lvl w:ilvl="0" w:tplc="A7D057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1F7641"/>
    <w:multiLevelType w:val="hybridMultilevel"/>
    <w:tmpl w:val="F68C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B1252"/>
    <w:multiLevelType w:val="hybridMultilevel"/>
    <w:tmpl w:val="5D5E6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F105E3"/>
    <w:multiLevelType w:val="hybridMultilevel"/>
    <w:tmpl w:val="2E02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827E3"/>
    <w:multiLevelType w:val="hybridMultilevel"/>
    <w:tmpl w:val="C2B4F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2B3A87"/>
    <w:multiLevelType w:val="hybridMultilevel"/>
    <w:tmpl w:val="329C03A2"/>
    <w:lvl w:ilvl="0" w:tplc="CF00E332">
      <w:numFmt w:val="bullet"/>
      <w:lvlText w:val=""/>
      <w:lvlJc w:val="left"/>
      <w:pPr>
        <w:ind w:left="473" w:hanging="361"/>
      </w:pPr>
      <w:rPr>
        <w:rFonts w:ascii="Symbol" w:eastAsia="Symbol" w:hAnsi="Symbol" w:cs="Symbol" w:hint="default"/>
        <w:color w:val="0D0D0D"/>
        <w:w w:val="100"/>
        <w:sz w:val="24"/>
        <w:szCs w:val="24"/>
      </w:rPr>
    </w:lvl>
    <w:lvl w:ilvl="1" w:tplc="8E828020">
      <w:numFmt w:val="bullet"/>
      <w:lvlText w:val="•"/>
      <w:lvlJc w:val="left"/>
      <w:pPr>
        <w:ind w:left="1416" w:hanging="361"/>
      </w:pPr>
      <w:rPr>
        <w:rFonts w:hint="default"/>
      </w:rPr>
    </w:lvl>
    <w:lvl w:ilvl="2" w:tplc="C6204336">
      <w:numFmt w:val="bullet"/>
      <w:lvlText w:val="•"/>
      <w:lvlJc w:val="left"/>
      <w:pPr>
        <w:ind w:left="2353" w:hanging="361"/>
      </w:pPr>
      <w:rPr>
        <w:rFonts w:hint="default"/>
      </w:rPr>
    </w:lvl>
    <w:lvl w:ilvl="3" w:tplc="B97E92A6">
      <w:numFmt w:val="bullet"/>
      <w:lvlText w:val="•"/>
      <w:lvlJc w:val="left"/>
      <w:pPr>
        <w:ind w:left="3289" w:hanging="361"/>
      </w:pPr>
      <w:rPr>
        <w:rFonts w:hint="default"/>
      </w:rPr>
    </w:lvl>
    <w:lvl w:ilvl="4" w:tplc="6CDEDF4C">
      <w:numFmt w:val="bullet"/>
      <w:lvlText w:val="•"/>
      <w:lvlJc w:val="left"/>
      <w:pPr>
        <w:ind w:left="4226" w:hanging="361"/>
      </w:pPr>
      <w:rPr>
        <w:rFonts w:hint="default"/>
      </w:rPr>
    </w:lvl>
    <w:lvl w:ilvl="5" w:tplc="1084E84A">
      <w:numFmt w:val="bullet"/>
      <w:lvlText w:val="•"/>
      <w:lvlJc w:val="left"/>
      <w:pPr>
        <w:ind w:left="5163" w:hanging="361"/>
      </w:pPr>
      <w:rPr>
        <w:rFonts w:hint="default"/>
      </w:rPr>
    </w:lvl>
    <w:lvl w:ilvl="6" w:tplc="05B07540">
      <w:numFmt w:val="bullet"/>
      <w:lvlText w:val="•"/>
      <w:lvlJc w:val="left"/>
      <w:pPr>
        <w:ind w:left="6099" w:hanging="361"/>
      </w:pPr>
      <w:rPr>
        <w:rFonts w:hint="default"/>
      </w:rPr>
    </w:lvl>
    <w:lvl w:ilvl="7" w:tplc="84D69FB2">
      <w:numFmt w:val="bullet"/>
      <w:lvlText w:val="•"/>
      <w:lvlJc w:val="left"/>
      <w:pPr>
        <w:ind w:left="7036" w:hanging="361"/>
      </w:pPr>
      <w:rPr>
        <w:rFonts w:hint="default"/>
      </w:rPr>
    </w:lvl>
    <w:lvl w:ilvl="8" w:tplc="181437CA">
      <w:numFmt w:val="bullet"/>
      <w:lvlText w:val="•"/>
      <w:lvlJc w:val="left"/>
      <w:pPr>
        <w:ind w:left="7973" w:hanging="361"/>
      </w:pPr>
      <w:rPr>
        <w:rFonts w:hint="default"/>
      </w:rPr>
    </w:lvl>
  </w:abstractNum>
  <w:abstractNum w:abstractNumId="26" w15:restartNumberingAfterBreak="0">
    <w:nsid w:val="65BA4CD7"/>
    <w:multiLevelType w:val="hybridMultilevel"/>
    <w:tmpl w:val="2B0C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205CE"/>
    <w:multiLevelType w:val="hybridMultilevel"/>
    <w:tmpl w:val="2EACF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513B5A"/>
    <w:multiLevelType w:val="hybridMultilevel"/>
    <w:tmpl w:val="4508AD16"/>
    <w:lvl w:ilvl="0" w:tplc="9D4E2472">
      <w:numFmt w:val="bullet"/>
      <w:lvlText w:val=""/>
      <w:lvlJc w:val="left"/>
      <w:pPr>
        <w:ind w:left="833" w:hanging="360"/>
      </w:pPr>
      <w:rPr>
        <w:rFonts w:hint="default"/>
        <w:w w:val="100"/>
      </w:rPr>
    </w:lvl>
    <w:lvl w:ilvl="1" w:tplc="A17EEB34">
      <w:numFmt w:val="bullet"/>
      <w:lvlText w:val="o"/>
      <w:lvlJc w:val="left"/>
      <w:pPr>
        <w:ind w:left="1553" w:hanging="360"/>
      </w:pPr>
      <w:rPr>
        <w:rFonts w:ascii="Courier New" w:eastAsia="Courier New" w:hAnsi="Courier New" w:cs="Courier New" w:hint="default"/>
        <w:w w:val="100"/>
        <w:sz w:val="24"/>
        <w:szCs w:val="24"/>
      </w:rPr>
    </w:lvl>
    <w:lvl w:ilvl="2" w:tplc="DDD49D04">
      <w:numFmt w:val="bullet"/>
      <w:lvlText w:val="•"/>
      <w:lvlJc w:val="left"/>
      <w:pPr>
        <w:ind w:left="2480" w:hanging="360"/>
      </w:pPr>
      <w:rPr>
        <w:rFonts w:hint="default"/>
      </w:rPr>
    </w:lvl>
    <w:lvl w:ilvl="3" w:tplc="129C43CA">
      <w:numFmt w:val="bullet"/>
      <w:lvlText w:val="•"/>
      <w:lvlJc w:val="left"/>
      <w:pPr>
        <w:ind w:left="3401" w:hanging="360"/>
      </w:pPr>
      <w:rPr>
        <w:rFonts w:hint="default"/>
      </w:rPr>
    </w:lvl>
    <w:lvl w:ilvl="4" w:tplc="087CF546">
      <w:numFmt w:val="bullet"/>
      <w:lvlText w:val="•"/>
      <w:lvlJc w:val="left"/>
      <w:pPr>
        <w:ind w:left="4322" w:hanging="360"/>
      </w:pPr>
      <w:rPr>
        <w:rFonts w:hint="default"/>
      </w:rPr>
    </w:lvl>
    <w:lvl w:ilvl="5" w:tplc="2B1C1A26">
      <w:numFmt w:val="bullet"/>
      <w:lvlText w:val="•"/>
      <w:lvlJc w:val="left"/>
      <w:pPr>
        <w:ind w:left="5242" w:hanging="360"/>
      </w:pPr>
      <w:rPr>
        <w:rFonts w:hint="default"/>
      </w:rPr>
    </w:lvl>
    <w:lvl w:ilvl="6" w:tplc="6F82473C">
      <w:numFmt w:val="bullet"/>
      <w:lvlText w:val="•"/>
      <w:lvlJc w:val="left"/>
      <w:pPr>
        <w:ind w:left="6163" w:hanging="360"/>
      </w:pPr>
      <w:rPr>
        <w:rFonts w:hint="default"/>
      </w:rPr>
    </w:lvl>
    <w:lvl w:ilvl="7" w:tplc="53B82BDA">
      <w:numFmt w:val="bullet"/>
      <w:lvlText w:val="•"/>
      <w:lvlJc w:val="left"/>
      <w:pPr>
        <w:ind w:left="7084" w:hanging="360"/>
      </w:pPr>
      <w:rPr>
        <w:rFonts w:hint="default"/>
      </w:rPr>
    </w:lvl>
    <w:lvl w:ilvl="8" w:tplc="942AB730">
      <w:numFmt w:val="bullet"/>
      <w:lvlText w:val="•"/>
      <w:lvlJc w:val="left"/>
      <w:pPr>
        <w:ind w:left="8004" w:hanging="360"/>
      </w:pPr>
      <w:rPr>
        <w:rFonts w:hint="default"/>
      </w:rPr>
    </w:lvl>
  </w:abstractNum>
  <w:abstractNum w:abstractNumId="29" w15:restartNumberingAfterBreak="0">
    <w:nsid w:val="6A6F7E6C"/>
    <w:multiLevelType w:val="hybridMultilevel"/>
    <w:tmpl w:val="B8D2E62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D2559D7"/>
    <w:multiLevelType w:val="hybridMultilevel"/>
    <w:tmpl w:val="CADCD22A"/>
    <w:lvl w:ilvl="0" w:tplc="2488F4CE">
      <w:numFmt w:val="bullet"/>
      <w:lvlText w:val="-"/>
      <w:lvlJc w:val="left"/>
      <w:pPr>
        <w:ind w:left="830" w:hanging="360"/>
      </w:pPr>
      <w:rPr>
        <w:rFonts w:ascii="Arial" w:eastAsia="Arial" w:hAnsi="Arial" w:cs="Arial" w:hint="default"/>
        <w:color w:val="0D0D0D"/>
        <w:w w:val="99"/>
        <w:sz w:val="20"/>
        <w:szCs w:val="20"/>
      </w:rPr>
    </w:lvl>
    <w:lvl w:ilvl="1" w:tplc="1542EADE">
      <w:numFmt w:val="bullet"/>
      <w:lvlText w:val="•"/>
      <w:lvlJc w:val="left"/>
      <w:pPr>
        <w:ind w:left="1191" w:hanging="360"/>
      </w:pPr>
      <w:rPr>
        <w:rFonts w:hint="default"/>
      </w:rPr>
    </w:lvl>
    <w:lvl w:ilvl="2" w:tplc="C5BC4488">
      <w:numFmt w:val="bullet"/>
      <w:lvlText w:val="•"/>
      <w:lvlJc w:val="left"/>
      <w:pPr>
        <w:ind w:left="1542" w:hanging="360"/>
      </w:pPr>
      <w:rPr>
        <w:rFonts w:hint="default"/>
      </w:rPr>
    </w:lvl>
    <w:lvl w:ilvl="3" w:tplc="A4E0D95E">
      <w:numFmt w:val="bullet"/>
      <w:lvlText w:val="•"/>
      <w:lvlJc w:val="left"/>
      <w:pPr>
        <w:ind w:left="1893" w:hanging="360"/>
      </w:pPr>
      <w:rPr>
        <w:rFonts w:hint="default"/>
      </w:rPr>
    </w:lvl>
    <w:lvl w:ilvl="4" w:tplc="80CA4A20">
      <w:numFmt w:val="bullet"/>
      <w:lvlText w:val="•"/>
      <w:lvlJc w:val="left"/>
      <w:pPr>
        <w:ind w:left="2244" w:hanging="360"/>
      </w:pPr>
      <w:rPr>
        <w:rFonts w:hint="default"/>
      </w:rPr>
    </w:lvl>
    <w:lvl w:ilvl="5" w:tplc="0BC621B6">
      <w:numFmt w:val="bullet"/>
      <w:lvlText w:val="•"/>
      <w:lvlJc w:val="left"/>
      <w:pPr>
        <w:ind w:left="2595" w:hanging="360"/>
      </w:pPr>
      <w:rPr>
        <w:rFonts w:hint="default"/>
      </w:rPr>
    </w:lvl>
    <w:lvl w:ilvl="6" w:tplc="92986944">
      <w:numFmt w:val="bullet"/>
      <w:lvlText w:val="•"/>
      <w:lvlJc w:val="left"/>
      <w:pPr>
        <w:ind w:left="2946" w:hanging="360"/>
      </w:pPr>
      <w:rPr>
        <w:rFonts w:hint="default"/>
      </w:rPr>
    </w:lvl>
    <w:lvl w:ilvl="7" w:tplc="C578105C">
      <w:numFmt w:val="bullet"/>
      <w:lvlText w:val="•"/>
      <w:lvlJc w:val="left"/>
      <w:pPr>
        <w:ind w:left="3297" w:hanging="360"/>
      </w:pPr>
      <w:rPr>
        <w:rFonts w:hint="default"/>
      </w:rPr>
    </w:lvl>
    <w:lvl w:ilvl="8" w:tplc="EFB0B746">
      <w:numFmt w:val="bullet"/>
      <w:lvlText w:val="•"/>
      <w:lvlJc w:val="left"/>
      <w:pPr>
        <w:ind w:left="3648" w:hanging="360"/>
      </w:pPr>
      <w:rPr>
        <w:rFonts w:hint="default"/>
      </w:rPr>
    </w:lvl>
  </w:abstractNum>
  <w:abstractNum w:abstractNumId="31" w15:restartNumberingAfterBreak="0">
    <w:nsid w:val="7D9A502C"/>
    <w:multiLevelType w:val="hybridMultilevel"/>
    <w:tmpl w:val="E8DA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F622C6"/>
    <w:multiLevelType w:val="hybridMultilevel"/>
    <w:tmpl w:val="7368FC38"/>
    <w:lvl w:ilvl="0" w:tplc="934A0F9E">
      <w:start w:val="1"/>
      <w:numFmt w:val="decimal"/>
      <w:lvlText w:val="%1."/>
      <w:lvlJc w:val="left"/>
      <w:pPr>
        <w:ind w:left="473" w:hanging="361"/>
        <w:jc w:val="left"/>
      </w:pPr>
      <w:rPr>
        <w:rFonts w:ascii="Arial" w:eastAsia="Arial" w:hAnsi="Arial" w:cs="Arial" w:hint="default"/>
        <w:b/>
        <w:bCs/>
        <w:color w:val="0F4F75"/>
        <w:spacing w:val="-2"/>
        <w:w w:val="100"/>
        <w:sz w:val="36"/>
        <w:szCs w:val="36"/>
      </w:rPr>
    </w:lvl>
    <w:lvl w:ilvl="1" w:tplc="8EE21540">
      <w:start w:val="1"/>
      <w:numFmt w:val="decimal"/>
      <w:lvlText w:val="%2."/>
      <w:lvlJc w:val="left"/>
      <w:pPr>
        <w:ind w:left="900" w:hanging="360"/>
        <w:jc w:val="left"/>
      </w:pPr>
      <w:rPr>
        <w:rFonts w:hint="default"/>
        <w:spacing w:val="-3"/>
        <w:w w:val="100"/>
      </w:rPr>
    </w:lvl>
    <w:lvl w:ilvl="2" w:tplc="9A32F5F2">
      <w:numFmt w:val="bullet"/>
      <w:lvlText w:val=""/>
      <w:lvlJc w:val="left"/>
      <w:pPr>
        <w:ind w:left="1553" w:hanging="360"/>
      </w:pPr>
      <w:rPr>
        <w:rFonts w:ascii="Symbol" w:eastAsia="Symbol" w:hAnsi="Symbol" w:cs="Symbol" w:hint="default"/>
        <w:w w:val="100"/>
        <w:sz w:val="24"/>
        <w:szCs w:val="24"/>
      </w:rPr>
    </w:lvl>
    <w:lvl w:ilvl="3" w:tplc="D3FA9BAC">
      <w:numFmt w:val="bullet"/>
      <w:lvlText w:val="•"/>
      <w:lvlJc w:val="left"/>
      <w:pPr>
        <w:ind w:left="1560" w:hanging="360"/>
      </w:pPr>
      <w:rPr>
        <w:rFonts w:hint="default"/>
      </w:rPr>
    </w:lvl>
    <w:lvl w:ilvl="4" w:tplc="BBFAEBF8">
      <w:numFmt w:val="bullet"/>
      <w:lvlText w:val="•"/>
      <w:lvlJc w:val="left"/>
      <w:pPr>
        <w:ind w:left="2743" w:hanging="360"/>
      </w:pPr>
      <w:rPr>
        <w:rFonts w:hint="default"/>
      </w:rPr>
    </w:lvl>
    <w:lvl w:ilvl="5" w:tplc="46DCFCE8">
      <w:numFmt w:val="bullet"/>
      <w:lvlText w:val="•"/>
      <w:lvlJc w:val="left"/>
      <w:pPr>
        <w:ind w:left="3927" w:hanging="360"/>
      </w:pPr>
      <w:rPr>
        <w:rFonts w:hint="default"/>
      </w:rPr>
    </w:lvl>
    <w:lvl w:ilvl="6" w:tplc="F1C22C3A">
      <w:numFmt w:val="bullet"/>
      <w:lvlText w:val="•"/>
      <w:lvlJc w:val="left"/>
      <w:pPr>
        <w:ind w:left="5111" w:hanging="360"/>
      </w:pPr>
      <w:rPr>
        <w:rFonts w:hint="default"/>
      </w:rPr>
    </w:lvl>
    <w:lvl w:ilvl="7" w:tplc="F33E4CEA">
      <w:numFmt w:val="bullet"/>
      <w:lvlText w:val="•"/>
      <w:lvlJc w:val="left"/>
      <w:pPr>
        <w:ind w:left="6295" w:hanging="360"/>
      </w:pPr>
      <w:rPr>
        <w:rFonts w:hint="default"/>
      </w:rPr>
    </w:lvl>
    <w:lvl w:ilvl="8" w:tplc="4264709E">
      <w:numFmt w:val="bullet"/>
      <w:lvlText w:val="•"/>
      <w:lvlJc w:val="left"/>
      <w:pPr>
        <w:ind w:left="7478" w:hanging="360"/>
      </w:pPr>
      <w:rPr>
        <w:rFonts w:hint="default"/>
      </w:rPr>
    </w:lvl>
  </w:abstractNum>
  <w:abstractNum w:abstractNumId="33" w15:restartNumberingAfterBreak="0">
    <w:nsid w:val="7E3F0B9A"/>
    <w:multiLevelType w:val="hybridMultilevel"/>
    <w:tmpl w:val="F582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7"/>
  </w:num>
  <w:num w:numId="4">
    <w:abstractNumId w:val="8"/>
  </w:num>
  <w:num w:numId="5">
    <w:abstractNumId w:val="10"/>
  </w:num>
  <w:num w:numId="6">
    <w:abstractNumId w:val="6"/>
  </w:num>
  <w:num w:numId="7">
    <w:abstractNumId w:val="20"/>
  </w:num>
  <w:num w:numId="8">
    <w:abstractNumId w:val="31"/>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2"/>
  </w:num>
  <w:num w:numId="12">
    <w:abstractNumId w:val="24"/>
  </w:num>
  <w:num w:numId="13">
    <w:abstractNumId w:val="14"/>
  </w:num>
  <w:num w:numId="14">
    <w:abstractNumId w:val="25"/>
  </w:num>
  <w:num w:numId="15">
    <w:abstractNumId w:val="28"/>
  </w:num>
  <w:num w:numId="16">
    <w:abstractNumId w:val="4"/>
  </w:num>
  <w:num w:numId="17">
    <w:abstractNumId w:val="18"/>
  </w:num>
  <w:num w:numId="18">
    <w:abstractNumId w:val="32"/>
  </w:num>
  <w:num w:numId="19">
    <w:abstractNumId w:val="30"/>
  </w:num>
  <w:num w:numId="20">
    <w:abstractNumId w:val="13"/>
  </w:num>
  <w:num w:numId="21">
    <w:abstractNumId w:val="15"/>
  </w:num>
  <w:num w:numId="22">
    <w:abstractNumId w:val="11"/>
  </w:num>
  <w:num w:numId="23">
    <w:abstractNumId w:val="2"/>
  </w:num>
  <w:num w:numId="24">
    <w:abstractNumId w:val="21"/>
  </w:num>
  <w:num w:numId="25">
    <w:abstractNumId w:val="5"/>
  </w:num>
  <w:num w:numId="26">
    <w:abstractNumId w:val="17"/>
  </w:num>
  <w:num w:numId="27">
    <w:abstractNumId w:val="23"/>
  </w:num>
  <w:num w:numId="28">
    <w:abstractNumId w:val="16"/>
  </w:num>
  <w:num w:numId="29">
    <w:abstractNumId w:val="19"/>
  </w:num>
  <w:num w:numId="30">
    <w:abstractNumId w:val="0"/>
  </w:num>
  <w:num w:numId="31">
    <w:abstractNumId w:val="26"/>
  </w:num>
  <w:num w:numId="32">
    <w:abstractNumId w:val="9"/>
  </w:num>
  <w:num w:numId="33">
    <w:abstractNumId w:val="33"/>
  </w:num>
  <w:num w:numId="34">
    <w:abstractNumId w:val="1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B"/>
    <w:rsid w:val="00027904"/>
    <w:rsid w:val="0004384B"/>
    <w:rsid w:val="00043F72"/>
    <w:rsid w:val="00052E45"/>
    <w:rsid w:val="0006715D"/>
    <w:rsid w:val="000A1875"/>
    <w:rsid w:val="000B6364"/>
    <w:rsid w:val="000B6E61"/>
    <w:rsid w:val="000C4304"/>
    <w:rsid w:val="000D4C2D"/>
    <w:rsid w:val="000D6D8E"/>
    <w:rsid w:val="000E7BA1"/>
    <w:rsid w:val="00113512"/>
    <w:rsid w:val="00125574"/>
    <w:rsid w:val="00130097"/>
    <w:rsid w:val="00134407"/>
    <w:rsid w:val="00183263"/>
    <w:rsid w:val="00196461"/>
    <w:rsid w:val="001B510D"/>
    <w:rsid w:val="001C35E2"/>
    <w:rsid w:val="001D5645"/>
    <w:rsid w:val="001D78FB"/>
    <w:rsid w:val="0023107A"/>
    <w:rsid w:val="00242399"/>
    <w:rsid w:val="00244898"/>
    <w:rsid w:val="00275A2F"/>
    <w:rsid w:val="00294A0F"/>
    <w:rsid w:val="002A2A06"/>
    <w:rsid w:val="002A3DE0"/>
    <w:rsid w:val="002A651F"/>
    <w:rsid w:val="002B2C53"/>
    <w:rsid w:val="002B3163"/>
    <w:rsid w:val="002C07DA"/>
    <w:rsid w:val="002E7690"/>
    <w:rsid w:val="00302813"/>
    <w:rsid w:val="003059DB"/>
    <w:rsid w:val="003163F3"/>
    <w:rsid w:val="00357EB1"/>
    <w:rsid w:val="00365B9A"/>
    <w:rsid w:val="00385432"/>
    <w:rsid w:val="003A429D"/>
    <w:rsid w:val="003A4C67"/>
    <w:rsid w:val="003B0673"/>
    <w:rsid w:val="003C6593"/>
    <w:rsid w:val="003F1031"/>
    <w:rsid w:val="004058A9"/>
    <w:rsid w:val="00431E7E"/>
    <w:rsid w:val="0044138F"/>
    <w:rsid w:val="00476155"/>
    <w:rsid w:val="0048443D"/>
    <w:rsid w:val="004A202F"/>
    <w:rsid w:val="004D380D"/>
    <w:rsid w:val="004E10AE"/>
    <w:rsid w:val="00515292"/>
    <w:rsid w:val="00542D02"/>
    <w:rsid w:val="005505E2"/>
    <w:rsid w:val="00592B15"/>
    <w:rsid w:val="005C27F0"/>
    <w:rsid w:val="005C7792"/>
    <w:rsid w:val="005D11A2"/>
    <w:rsid w:val="005D146A"/>
    <w:rsid w:val="005F100B"/>
    <w:rsid w:val="00600769"/>
    <w:rsid w:val="00602B02"/>
    <w:rsid w:val="00611026"/>
    <w:rsid w:val="006222A6"/>
    <w:rsid w:val="00661D41"/>
    <w:rsid w:val="006646A2"/>
    <w:rsid w:val="0068574A"/>
    <w:rsid w:val="00686D0F"/>
    <w:rsid w:val="006941EE"/>
    <w:rsid w:val="006A481A"/>
    <w:rsid w:val="006B4E13"/>
    <w:rsid w:val="006B7891"/>
    <w:rsid w:val="00767751"/>
    <w:rsid w:val="007702E1"/>
    <w:rsid w:val="00771957"/>
    <w:rsid w:val="0079062F"/>
    <w:rsid w:val="0079323A"/>
    <w:rsid w:val="00794E1B"/>
    <w:rsid w:val="007A7732"/>
    <w:rsid w:val="007C12BB"/>
    <w:rsid w:val="007D0DF2"/>
    <w:rsid w:val="007D6F86"/>
    <w:rsid w:val="007F49B1"/>
    <w:rsid w:val="00812199"/>
    <w:rsid w:val="0081280E"/>
    <w:rsid w:val="00823E8D"/>
    <w:rsid w:val="00825670"/>
    <w:rsid w:val="00850A44"/>
    <w:rsid w:val="0085270B"/>
    <w:rsid w:val="00855E82"/>
    <w:rsid w:val="008B4D15"/>
    <w:rsid w:val="008F791E"/>
    <w:rsid w:val="009209AD"/>
    <w:rsid w:val="00925939"/>
    <w:rsid w:val="0094001E"/>
    <w:rsid w:val="00981E1A"/>
    <w:rsid w:val="00997640"/>
    <w:rsid w:val="009D67ED"/>
    <w:rsid w:val="00A12C73"/>
    <w:rsid w:val="00A2707B"/>
    <w:rsid w:val="00A7608E"/>
    <w:rsid w:val="00AE72C3"/>
    <w:rsid w:val="00AE76CB"/>
    <w:rsid w:val="00AE7B16"/>
    <w:rsid w:val="00AF036D"/>
    <w:rsid w:val="00AF309E"/>
    <w:rsid w:val="00B159C3"/>
    <w:rsid w:val="00B45BBD"/>
    <w:rsid w:val="00B474B5"/>
    <w:rsid w:val="00B70FB1"/>
    <w:rsid w:val="00B95851"/>
    <w:rsid w:val="00B9789F"/>
    <w:rsid w:val="00BA5772"/>
    <w:rsid w:val="00BB0EAD"/>
    <w:rsid w:val="00BD5038"/>
    <w:rsid w:val="00C04B72"/>
    <w:rsid w:val="00C17941"/>
    <w:rsid w:val="00C56B9A"/>
    <w:rsid w:val="00C76D29"/>
    <w:rsid w:val="00C93DDB"/>
    <w:rsid w:val="00CC1650"/>
    <w:rsid w:val="00CD06D2"/>
    <w:rsid w:val="00CE0C38"/>
    <w:rsid w:val="00CF1219"/>
    <w:rsid w:val="00D17F79"/>
    <w:rsid w:val="00D21836"/>
    <w:rsid w:val="00D45F06"/>
    <w:rsid w:val="00D46E2C"/>
    <w:rsid w:val="00D64FD6"/>
    <w:rsid w:val="00DA7D8E"/>
    <w:rsid w:val="00DC203E"/>
    <w:rsid w:val="00DE6067"/>
    <w:rsid w:val="00DF4BF9"/>
    <w:rsid w:val="00DF719D"/>
    <w:rsid w:val="00E0577E"/>
    <w:rsid w:val="00E123B3"/>
    <w:rsid w:val="00E30FF7"/>
    <w:rsid w:val="00E36695"/>
    <w:rsid w:val="00E53833"/>
    <w:rsid w:val="00E61BAB"/>
    <w:rsid w:val="00E951E7"/>
    <w:rsid w:val="00EB0BFE"/>
    <w:rsid w:val="00EC23B3"/>
    <w:rsid w:val="00EE6DB1"/>
    <w:rsid w:val="00EF3AC5"/>
    <w:rsid w:val="00F42049"/>
    <w:rsid w:val="00F60C03"/>
    <w:rsid w:val="00FA47E5"/>
    <w:rsid w:val="00FB1789"/>
    <w:rsid w:val="00FC13FE"/>
    <w:rsid w:val="00FC540B"/>
    <w:rsid w:val="00FE3F9B"/>
    <w:rsid w:val="00FF4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3E53D"/>
  <w15:chartTrackingRefBased/>
  <w15:docId w15:val="{6ABEF183-7F34-4B11-B5D3-780EAB0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61D41"/>
    <w:pPr>
      <w:keepNext/>
      <w:spacing w:after="0" w:line="240" w:lineRule="auto"/>
      <w:jc w:val="both"/>
      <w:outlineLvl w:val="1"/>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1026"/>
    <w:pPr>
      <w:ind w:left="720"/>
      <w:contextualSpacing/>
    </w:pPr>
  </w:style>
  <w:style w:type="table" w:styleId="TableGrid">
    <w:name w:val="Table Grid"/>
    <w:basedOn w:val="TableNormal"/>
    <w:uiPriority w:val="39"/>
    <w:rsid w:val="0085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61D41"/>
    <w:rPr>
      <w:rFonts w:ascii="Arial" w:eastAsia="Times New Roman" w:hAnsi="Arial" w:cs="Times New Roman"/>
      <w:b/>
      <w:bCs/>
      <w:sz w:val="20"/>
      <w:szCs w:val="24"/>
    </w:rPr>
  </w:style>
  <w:style w:type="character" w:styleId="Hyperlink">
    <w:name w:val="Hyperlink"/>
    <w:uiPriority w:val="99"/>
    <w:unhideWhenUsed/>
    <w:rsid w:val="00661D41"/>
    <w:rPr>
      <w:color w:val="0000FF"/>
      <w:u w:val="single"/>
    </w:rPr>
  </w:style>
  <w:style w:type="paragraph" w:styleId="Header">
    <w:name w:val="header"/>
    <w:basedOn w:val="Normal"/>
    <w:link w:val="HeaderChar"/>
    <w:uiPriority w:val="99"/>
    <w:unhideWhenUsed/>
    <w:rsid w:val="005D1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1A2"/>
  </w:style>
  <w:style w:type="paragraph" w:styleId="Footer">
    <w:name w:val="footer"/>
    <w:basedOn w:val="Normal"/>
    <w:link w:val="FooterChar"/>
    <w:uiPriority w:val="99"/>
    <w:unhideWhenUsed/>
    <w:rsid w:val="005D1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1A2"/>
  </w:style>
  <w:style w:type="paragraph" w:styleId="NoSpacing">
    <w:name w:val="No Spacing"/>
    <w:uiPriority w:val="1"/>
    <w:qFormat/>
    <w:rsid w:val="005D11A2"/>
    <w:pPr>
      <w:spacing w:after="0" w:line="240" w:lineRule="auto"/>
    </w:pPr>
  </w:style>
  <w:style w:type="paragraph" w:customStyle="1" w:styleId="Default">
    <w:name w:val="Default"/>
    <w:rsid w:val="005D11A2"/>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6941EE"/>
    <w:rPr>
      <w:rFonts w:asciiTheme="majorHAnsi" w:eastAsiaTheme="majorEastAsia" w:hAnsiTheme="majorHAnsi" w:cstheme="majorBidi"/>
      <w:color w:val="2E74B5" w:themeColor="accent1" w:themeShade="BF"/>
      <w:sz w:val="32"/>
      <w:szCs w:val="32"/>
    </w:rPr>
  </w:style>
  <w:style w:type="paragraph" w:styleId="TOC1">
    <w:name w:val="toc 1"/>
    <w:basedOn w:val="Normal"/>
    <w:uiPriority w:val="1"/>
    <w:qFormat/>
    <w:rsid w:val="006941EE"/>
    <w:pPr>
      <w:widowControl w:val="0"/>
      <w:autoSpaceDE w:val="0"/>
      <w:autoSpaceDN w:val="0"/>
      <w:spacing w:before="175" w:after="0" w:line="240" w:lineRule="auto"/>
      <w:ind w:left="593" w:hanging="482"/>
    </w:pPr>
    <w:rPr>
      <w:rFonts w:ascii="Arial" w:eastAsia="Arial" w:hAnsi="Arial" w:cs="Arial"/>
      <w:sz w:val="24"/>
      <w:szCs w:val="24"/>
      <w:lang w:val="en-US"/>
    </w:rPr>
  </w:style>
  <w:style w:type="paragraph" w:styleId="BodyText">
    <w:name w:val="Body Text"/>
    <w:basedOn w:val="Normal"/>
    <w:link w:val="BodyTextChar"/>
    <w:uiPriority w:val="1"/>
    <w:qFormat/>
    <w:rsid w:val="006941EE"/>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941EE"/>
    <w:rPr>
      <w:rFonts w:ascii="Arial" w:eastAsia="Arial" w:hAnsi="Arial" w:cs="Arial"/>
      <w:sz w:val="24"/>
      <w:szCs w:val="24"/>
      <w:lang w:val="en-US"/>
    </w:rPr>
  </w:style>
  <w:style w:type="paragraph" w:customStyle="1" w:styleId="TableParagraph">
    <w:name w:val="Table Paragraph"/>
    <w:basedOn w:val="Normal"/>
    <w:uiPriority w:val="1"/>
    <w:qFormat/>
    <w:rsid w:val="006941EE"/>
    <w:pPr>
      <w:widowControl w:val="0"/>
      <w:autoSpaceDE w:val="0"/>
      <w:autoSpaceDN w:val="0"/>
      <w:spacing w:before="1" w:after="0" w:line="240" w:lineRule="auto"/>
      <w:ind w:left="110"/>
    </w:pPr>
    <w:rPr>
      <w:rFonts w:ascii="Arial" w:eastAsia="Arial" w:hAnsi="Arial" w:cs="Arial"/>
      <w:lang w:val="en-US"/>
    </w:rPr>
  </w:style>
  <w:style w:type="character" w:customStyle="1" w:styleId="ListParagraphChar">
    <w:name w:val="List Paragraph Char"/>
    <w:link w:val="ListParagraph"/>
    <w:uiPriority w:val="34"/>
    <w:locked/>
    <w:rsid w:val="00FF4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5288">
      <w:bodyDiv w:val="1"/>
      <w:marLeft w:val="0"/>
      <w:marRight w:val="0"/>
      <w:marTop w:val="0"/>
      <w:marBottom w:val="0"/>
      <w:divBdr>
        <w:top w:val="none" w:sz="0" w:space="0" w:color="auto"/>
        <w:left w:val="none" w:sz="0" w:space="0" w:color="auto"/>
        <w:bottom w:val="none" w:sz="0" w:space="0" w:color="auto"/>
        <w:right w:val="none" w:sz="0" w:space="0" w:color="auto"/>
      </w:divBdr>
    </w:div>
    <w:div w:id="7809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bunn@eastcoast.ac.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bunn@eastcoas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8b3734-114b-479a-97f8-4fc15b723250" xsi:nil="true"/>
    <lcf76f155ced4ddcb4097134ff3c332f xmlns="4ff77f85-aa40-4283-b6d2-ed7f28ad46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8D750BEE72E42922A3A5ED197E88B" ma:contentTypeVersion="18" ma:contentTypeDescription="Create a new document." ma:contentTypeScope="" ma:versionID="beff8f054bb1e8c90f6eed3e9008444b">
  <xsd:schema xmlns:xsd="http://www.w3.org/2001/XMLSchema" xmlns:xs="http://www.w3.org/2001/XMLSchema" xmlns:p="http://schemas.microsoft.com/office/2006/metadata/properties" xmlns:ns2="4ff77f85-aa40-4283-b6d2-ed7f28ad463d" xmlns:ns3="688b3734-114b-479a-97f8-4fc15b723250" targetNamespace="http://schemas.microsoft.com/office/2006/metadata/properties" ma:root="true" ma:fieldsID="cf4e77920eb974c4dbe29f81dd310ee0" ns2:_="" ns3:_="">
    <xsd:import namespace="4ff77f85-aa40-4283-b6d2-ed7f28ad463d"/>
    <xsd:import namespace="688b3734-114b-479a-97f8-4fc15b7232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77f85-aa40-4283-b6d2-ed7f28ad4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4c91a0-6998-424a-b3f0-d684d7a918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b3734-114b-479a-97f8-4fc15b7232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3bb948-61e5-4892-8489-d62d2decb608}" ma:internalName="TaxCatchAll" ma:showField="CatchAllData" ma:web="688b3734-114b-479a-97f8-4fc15b723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5BDDB-81C4-4162-97C5-6A0FB09D25EB}">
  <ds:schemaRefs>
    <ds:schemaRef ds:uri="http://schemas.openxmlformats.org/officeDocument/2006/bibliography"/>
  </ds:schemaRefs>
</ds:datastoreItem>
</file>

<file path=customXml/itemProps2.xml><?xml version="1.0" encoding="utf-8"?>
<ds:datastoreItem xmlns:ds="http://schemas.openxmlformats.org/officeDocument/2006/customXml" ds:itemID="{6A9A3BA0-4B8A-43FF-A513-62BDE7A3A5AC}">
  <ds:schemaRefs>
    <ds:schemaRef ds:uri="http://schemas.microsoft.com/sharepoint/v3/contenttype/forms"/>
  </ds:schemaRefs>
</ds:datastoreItem>
</file>

<file path=customXml/itemProps3.xml><?xml version="1.0" encoding="utf-8"?>
<ds:datastoreItem xmlns:ds="http://schemas.openxmlformats.org/officeDocument/2006/customXml" ds:itemID="{F9AD460D-3A38-4E88-9F00-0C1724C83CB2}">
  <ds:schemaRefs>
    <ds:schemaRef ds:uri="http://schemas.microsoft.com/office/2006/metadata/properties"/>
    <ds:schemaRef ds:uri="http://schemas.microsoft.com/office/infopath/2007/PartnerControls"/>
    <ds:schemaRef ds:uri="688b3734-114b-479a-97f8-4fc15b723250"/>
    <ds:schemaRef ds:uri="4ff77f85-aa40-4283-b6d2-ed7f28ad463d"/>
  </ds:schemaRefs>
</ds:datastoreItem>
</file>

<file path=customXml/itemProps4.xml><?xml version="1.0" encoding="utf-8"?>
<ds:datastoreItem xmlns:ds="http://schemas.openxmlformats.org/officeDocument/2006/customXml" ds:itemID="{ED660407-7304-4113-93BD-B776C2085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77f85-aa40-4283-b6d2-ed7f28ad463d"/>
    <ds:schemaRef ds:uri="688b3734-114b-479a-97f8-4fc15b723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8488</Words>
  <Characters>49193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Bright</dc:creator>
  <cp:keywords/>
  <dc:description/>
  <cp:lastModifiedBy>Rachel Bunn</cp:lastModifiedBy>
  <cp:revision>2</cp:revision>
  <cp:lastPrinted>2024-05-23T11:19:00Z</cp:lastPrinted>
  <dcterms:created xsi:type="dcterms:W3CDTF">2025-02-28T09:24:00Z</dcterms:created>
  <dcterms:modified xsi:type="dcterms:W3CDTF">2025-02-28T09:24:00Z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0x010100060CB6AF7E55A246A504D2AD9962E465</vt:lpwstr>
  </property>
  <property fmtid="{D5CDD505-2E9C-101B-9397-08002B2CF9AE}" pid="3" name="GrammarlyDocumentId">
    <vt:lpwstr>6d920be74eb9609087a97bfd40b4b7cd5d6eb186d8eeb07bb2ae9c06fd7b05af</vt:lpwstr>
  </property>
  <property fmtid="{D5CDD505-2E9C-101B-9397-08002B2CF9AE}" pid="4" name="MediaServiceImageTags">
    <vt:lpwstr/>
  </property>
</Properties>
</file>